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59"/>
        <w:spacing w:after="0"/>
        <w:rPr>
          <w:sz w:val="20"/>
          <w:szCs w:val="20"/>
          <w:color w:val="auto"/>
        </w:rPr>
      </w:pPr>
      <w:r>
        <w:rPr>
          <w:rFonts w:ascii="Times New Roman" w:cs="Times New Roman" w:eastAsia="Times New Roman" w:hAnsi="Times New Roman"/>
          <w:sz w:val="13"/>
          <w:szCs w:val="13"/>
          <w:b w:val="1"/>
          <w:bCs w:val="1"/>
          <w:color w:val="FFFFFF"/>
        </w:rPr>
        <w:drawing>
          <wp:anchor simplePos="0" relativeHeight="251657728" behindDoc="1" locked="0" layoutInCell="0" allowOverlap="1">
            <wp:simplePos x="0" y="0"/>
            <wp:positionH relativeFrom="page">
              <wp:posOffset>194310</wp:posOffset>
            </wp:positionH>
            <wp:positionV relativeFrom="page">
              <wp:posOffset>154305</wp:posOffset>
            </wp:positionV>
            <wp:extent cx="7160260" cy="10450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10450195"/>
                    </a:xfrm>
                    <a:prstGeom prst="rect">
                      <a:avLst/>
                    </a:prstGeom>
                    <a:noFill/>
                  </pic:spPr>
                </pic:pic>
              </a:graphicData>
            </a:graphic>
          </wp:anchor>
        </w:drawing>
        <w:t>Filed Pursuant to Rule 424(b)(4)</w:t>
      </w:r>
    </w:p>
    <w:p>
      <w:pPr>
        <w:spacing w:after="0" w:line="6"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3"/>
          <w:szCs w:val="13"/>
          <w:b w:val="1"/>
          <w:bCs w:val="1"/>
          <w:color w:val="FFFFFF"/>
        </w:rPr>
        <w:t> Registration No. 333-295165</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70,000,000 Shares</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FFFFFF"/>
        </w:rPr>
        <w:t>Fervo Energy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Class A Common Stock</w:t>
      </w:r>
    </w:p>
    <w:p>
      <w:pPr>
        <w:spacing w:after="0" w:line="108" w:lineRule="exact"/>
        <w:rPr>
          <w:sz w:val="24"/>
          <w:szCs w:val="24"/>
          <w:color w:val="auto"/>
        </w:rPr>
      </w:pPr>
    </w:p>
    <w:p>
      <w:pPr>
        <w:ind w:left="260" w:right="299" w:firstLine="258"/>
        <w:spacing w:after="0" w:line="284" w:lineRule="auto"/>
        <w:rPr>
          <w:sz w:val="20"/>
          <w:szCs w:val="20"/>
          <w:color w:val="auto"/>
        </w:rPr>
      </w:pPr>
      <w:r>
        <w:rPr>
          <w:rFonts w:ascii="Times New Roman" w:cs="Times New Roman" w:eastAsia="Times New Roman" w:hAnsi="Times New Roman"/>
          <w:sz w:val="13"/>
          <w:szCs w:val="13"/>
          <w:color w:val="FFFFFF"/>
        </w:rPr>
        <w:t>This is the initial public offering of shares of Class A common stock of Fervo Energy Company. We are offering 70,000,000 shares of our Class A common stock.</w:t>
      </w:r>
    </w:p>
    <w:p>
      <w:pPr>
        <w:spacing w:after="0" w:line="1" w:lineRule="exact"/>
        <w:rPr>
          <w:sz w:val="24"/>
          <w:szCs w:val="24"/>
          <w:color w:val="auto"/>
        </w:rPr>
      </w:pPr>
    </w:p>
    <w:p>
      <w:pPr>
        <w:ind w:left="260" w:right="419" w:firstLine="258"/>
        <w:spacing w:after="0" w:line="251" w:lineRule="auto"/>
        <w:rPr>
          <w:sz w:val="20"/>
          <w:szCs w:val="20"/>
          <w:color w:val="auto"/>
        </w:rPr>
      </w:pPr>
      <w:r>
        <w:rPr>
          <w:rFonts w:ascii="Times New Roman" w:cs="Times New Roman" w:eastAsia="Times New Roman" w:hAnsi="Times New Roman"/>
          <w:sz w:val="13"/>
          <w:szCs w:val="13"/>
          <w:color w:val="FFFFFF"/>
        </w:rPr>
        <w:t>Prior to this offering, there has been no public market for our Class A common stock. We expect that the initial public offering price per share of our Class A common stock is $27.00. We have been approved to list our Class A common stock on the NASDAQ under the symbol “FRVO.”</w:t>
      </w:r>
    </w:p>
    <w:p>
      <w:pPr>
        <w:spacing w:after="0" w:line="31" w:lineRule="exact"/>
        <w:rPr>
          <w:sz w:val="24"/>
          <w:szCs w:val="24"/>
          <w:color w:val="auto"/>
        </w:rPr>
      </w:pPr>
    </w:p>
    <w:p>
      <w:pPr>
        <w:ind w:left="260" w:right="319" w:firstLine="258"/>
        <w:spacing w:after="0" w:line="233" w:lineRule="auto"/>
        <w:rPr>
          <w:sz w:val="20"/>
          <w:szCs w:val="20"/>
          <w:color w:val="auto"/>
        </w:rPr>
      </w:pPr>
      <w:r>
        <w:rPr>
          <w:rFonts w:ascii="Times New Roman" w:cs="Times New Roman" w:eastAsia="Times New Roman" w:hAnsi="Times New Roman"/>
          <w:sz w:val="13"/>
          <w:szCs w:val="13"/>
          <w:color w:val="FFFFFF"/>
        </w:rPr>
        <w:t>Following this offering, we will have two series of authorized common stock, Class A common stock and Class B common stock. The rights of the holders of our Class A common stock and Class B common stock are identical, except with respect to voting, conversion and transfer rights. Each share of our Class A common stock is entitled to one vote per share. Each share of our Class B common stock is entitled to 40 votes per share and is convertible at any time, subject to the satisfaction of certain conditions as described herein, into one share of Class A common stock. Immediately following the completion of this offering, all outstanding shares of Class B common stock will be beneficially owned by Tim Latimer, our Chief Executive Officer and Chair of our board of directors, and Jack Norbeck, PhD., our Chief Technical Officer. Assuming no exercise of the underwriters’ option to purchase additional shares to cover over-allotments, if any, and assuming Mr. Latimer and Dr. Norbeck do not purchase any shares of Class A common stock pursuant to the reserved share program, Mr. Latimer and Dr. Norbeck will beneficially own, in the aggregate, approximately 2.75% of our outstanding capital stock and control approximately 53.03% of the voting power of our outstanding capital stock. As a result, Mr. Latimer and Dr. Norbeck may have significant influence over the outcome of matters submitted to our stockholders for approval, including the election of our directors and the approval of any change of control transaction. See “Principal Stockholders.”</w:t>
      </w:r>
    </w:p>
    <w:p>
      <w:pPr>
        <w:spacing w:after="0" w:line="41" w:lineRule="exact"/>
        <w:rPr>
          <w:sz w:val="24"/>
          <w:szCs w:val="24"/>
          <w:color w:val="auto"/>
        </w:rPr>
      </w:pPr>
    </w:p>
    <w:p>
      <w:pPr>
        <w:ind w:left="260" w:right="319" w:firstLine="258"/>
        <w:spacing w:after="0" w:line="238" w:lineRule="auto"/>
        <w:rPr>
          <w:sz w:val="20"/>
          <w:szCs w:val="20"/>
          <w:color w:val="auto"/>
        </w:rPr>
      </w:pPr>
      <w:r>
        <w:rPr>
          <w:rFonts w:ascii="Times New Roman" w:cs="Times New Roman" w:eastAsia="Times New Roman" w:hAnsi="Times New Roman"/>
          <w:sz w:val="13"/>
          <w:szCs w:val="13"/>
          <w:color w:val="FFFFFF"/>
        </w:rPr>
        <w:t>We are an “emerging growth company” and a smaller reporting company as defined under the federal securities laws, and, as such, may elect to comply with certain reduced public company reporting requirements. See “Prospectus Summary — Implications of Being an Emerging Growth Company and Smaller Reporting Company.”</w:t>
      </w:r>
    </w:p>
    <w:p>
      <w:pPr>
        <w:spacing w:after="0" w:line="122" w:lineRule="exact"/>
        <w:rPr>
          <w:sz w:val="24"/>
          <w:szCs w:val="24"/>
          <w:color w:val="auto"/>
        </w:rPr>
      </w:pPr>
    </w:p>
    <w:p>
      <w:pPr>
        <w:ind w:left="260" w:right="599" w:firstLine="258"/>
        <w:spacing w:after="0" w:line="255" w:lineRule="auto"/>
        <w:rPr>
          <w:sz w:val="20"/>
          <w:szCs w:val="20"/>
          <w:color w:val="auto"/>
        </w:rPr>
      </w:pPr>
      <w:r>
        <w:rPr>
          <w:rFonts w:ascii="Times New Roman" w:cs="Times New Roman" w:eastAsia="Times New Roman" w:hAnsi="Times New Roman"/>
          <w:sz w:val="13"/>
          <w:szCs w:val="13"/>
          <w:b w:val="1"/>
          <w:bCs w:val="1"/>
          <w:color w:val="FFFFFF"/>
        </w:rPr>
        <w:t>Investing in our Class A common stock involves risks. See “Risk Factors” beginning on page 39 to read about factors you should consider before buying shares of our Class A common stock.</w:t>
      </w:r>
    </w:p>
    <w:p>
      <w:pPr>
        <w:spacing w:after="0" w:line="133" w:lineRule="exact"/>
        <w:rPr>
          <w:sz w:val="24"/>
          <w:szCs w:val="24"/>
          <w:color w:val="auto"/>
        </w:rPr>
      </w:pPr>
    </w:p>
    <w:tbl>
      <w:tblPr>
        <w:tblLayout w:type="fixed"/>
        <w:tblInd w:w="30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FFFFFF"/>
              </w:rPr>
              <w:t>Per Share</w:t>
            </w:r>
          </w:p>
        </w:tc>
        <w:tc>
          <w:tcPr>
            <w:tcW w:w="1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FFFFFF"/>
              </w:rPr>
              <w:t>Total</w:t>
            </w:r>
          </w:p>
        </w:tc>
      </w:tr>
      <w:tr>
        <w:trPr>
          <w:trHeight w:val="172"/>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FFFFFF"/>
                <w:w w:val="99"/>
              </w:rPr>
              <w:t xml:space="preserve">Initial public offering price </w:t>
            </w:r>
            <w:r>
              <w:rPr>
                <w:rFonts w:ascii="Times New Roman" w:cs="Times New Roman" w:eastAsia="Times New Roman" w:hAnsi="Times New Roman"/>
                <w:sz w:val="13"/>
                <w:szCs w:val="13"/>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w w:val="91"/>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FFFFFF"/>
              </w:rPr>
              <w:t>27.00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FFFFFF"/>
                <w:w w:val="98"/>
              </w:rPr>
              <w:t>1,890,000,000</w:t>
            </w:r>
          </w:p>
        </w:tc>
      </w:tr>
      <w:tr>
        <w:trPr>
          <w:trHeight w:val="19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FFFFFF"/>
                <w:w w:val="99"/>
              </w:rPr>
              <w:t>Underwriting discounts and commissions</w:t>
            </w:r>
            <w:r>
              <w:rPr>
                <w:rFonts w:ascii="Times New Roman" w:cs="Times New Roman" w:eastAsia="Times New Roman" w:hAnsi="Times New Roman"/>
                <w:sz w:val="16"/>
                <w:szCs w:val="16"/>
                <w:color w:val="FFFFFF"/>
                <w:w w:val="99"/>
                <w:vertAlign w:val="superscript"/>
              </w:rPr>
              <w:t>(1)</w:t>
            </w:r>
            <w:r>
              <w:rPr>
                <w:rFonts w:ascii="Times New Roman" w:cs="Times New Roman" w:eastAsia="Times New Roman" w:hAnsi="Times New Roman"/>
                <w:sz w:val="13"/>
                <w:szCs w:val="13"/>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w w:val="91"/>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FFFFFF"/>
              </w:rPr>
              <w:t>1.62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FFFFFF"/>
              </w:rPr>
              <w:t>113,400,000</w:t>
            </w:r>
          </w:p>
        </w:tc>
      </w:tr>
      <w:tr>
        <w:trPr>
          <w:trHeight w:val="167"/>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FFFFFF"/>
                <w:w w:val="99"/>
              </w:rPr>
              <w:t xml:space="preserve">Proceeds, before expenses, to us </w:t>
            </w:r>
            <w:r>
              <w:rPr>
                <w:rFonts w:ascii="Times New Roman" w:cs="Times New Roman" w:eastAsia="Times New Roman" w:hAnsi="Times New Roman"/>
                <w:sz w:val="13"/>
                <w:szCs w:val="13"/>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w w:val="91"/>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FFFFFF"/>
              </w:rPr>
              <w:t>25.38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FFFFFF"/>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FFFFFF"/>
                <w:w w:val="98"/>
              </w:rPr>
              <w:t>1,776,600,000</w:t>
            </w:r>
          </w:p>
        </w:tc>
      </w:tr>
    </w:tbl>
    <w:p>
      <w:pPr>
        <w:spacing w:after="0" w:line="4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color w:val="FFFFFF"/>
        </w:rPr>
        <w:t>__________________</w:t>
      </w:r>
    </w:p>
    <w:p>
      <w:pPr>
        <w:spacing w:after="0" w:line="14" w:lineRule="exact"/>
        <w:rPr>
          <w:sz w:val="24"/>
          <w:szCs w:val="24"/>
          <w:color w:val="auto"/>
        </w:rPr>
      </w:pPr>
    </w:p>
    <w:p>
      <w:pPr>
        <w:ind w:left="500" w:hanging="249"/>
        <w:spacing w:after="0"/>
        <w:tabs>
          <w:tab w:leader="none" w:pos="500" w:val="left"/>
        </w:tabs>
        <w:numPr>
          <w:ilvl w:val="0"/>
          <w:numId w:val="1"/>
        </w:numPr>
        <w:rPr>
          <w:rFonts w:ascii="Times New Roman" w:cs="Times New Roman" w:eastAsia="Times New Roman" w:hAnsi="Times New Roman"/>
          <w:sz w:val="11"/>
          <w:szCs w:val="11"/>
          <w:color w:val="FFFFFF"/>
        </w:rPr>
      </w:pPr>
      <w:r>
        <w:rPr>
          <w:rFonts w:ascii="Times New Roman" w:cs="Times New Roman" w:eastAsia="Times New Roman" w:hAnsi="Times New Roman"/>
          <w:sz w:val="11"/>
          <w:szCs w:val="11"/>
          <w:color w:val="FFFFFF"/>
        </w:rPr>
        <w:t>See the section titled “Underwriting” for a description of the compensation payable to the underwriters.</w:t>
      </w:r>
    </w:p>
    <w:p>
      <w:pPr>
        <w:spacing w:after="0" w:line="40" w:lineRule="exact"/>
        <w:rPr>
          <w:sz w:val="24"/>
          <w:szCs w:val="24"/>
          <w:color w:val="auto"/>
        </w:rPr>
      </w:pPr>
    </w:p>
    <w:p>
      <w:pPr>
        <w:ind w:left="260" w:right="379" w:firstLine="258"/>
        <w:spacing w:after="0" w:line="265" w:lineRule="auto"/>
        <w:rPr>
          <w:sz w:val="20"/>
          <w:szCs w:val="20"/>
          <w:color w:val="auto"/>
        </w:rPr>
      </w:pPr>
      <w:r>
        <w:rPr>
          <w:rFonts w:ascii="Times New Roman" w:cs="Times New Roman" w:eastAsia="Times New Roman" w:hAnsi="Times New Roman"/>
          <w:sz w:val="12"/>
          <w:szCs w:val="12"/>
          <w:color w:val="FFFFFF"/>
        </w:rPr>
        <w:t>At our request, an affiliate of BofA Securities, Inc., a participating underwriter has reserved for sale, at the initial public offering price, up to 5% of the shares of Class A common stock to be issued by us and offered by this prospectus for sale, to some of our directors, officers and employees and related persons. If these persons purchase reserved shares it will reduce the number of shares available for sale to the general public. Any reserved shares that are not so purchased will be offered by the underwriters to the general public on the same basis as the other shares offered by this prospectus. See “Underwriting—Reserved Share Program.”</w:t>
      </w:r>
    </w:p>
    <w:p>
      <w:pPr>
        <w:spacing w:after="0" w:line="13" w:lineRule="exact"/>
        <w:rPr>
          <w:sz w:val="24"/>
          <w:szCs w:val="24"/>
          <w:color w:val="auto"/>
        </w:rPr>
      </w:pPr>
    </w:p>
    <w:p>
      <w:pPr>
        <w:ind w:left="260" w:right="279" w:firstLine="258"/>
        <w:spacing w:after="0" w:line="269" w:lineRule="auto"/>
        <w:rPr>
          <w:sz w:val="20"/>
          <w:szCs w:val="20"/>
          <w:color w:val="auto"/>
        </w:rPr>
      </w:pPr>
      <w:r>
        <w:rPr>
          <w:rFonts w:ascii="Times New Roman" w:cs="Times New Roman" w:eastAsia="Times New Roman" w:hAnsi="Times New Roman"/>
          <w:sz w:val="13"/>
          <w:szCs w:val="13"/>
          <w:color w:val="FFFFFF"/>
        </w:rPr>
        <w:t>We have granted the underwriters an option for a period of 30 days from the date of this prospectus to purchase up to an additional 10,500,000 shares of our Class A common stock from us at the initial public offering price, less the underwriting discounts and commissions.</w:t>
      </w:r>
    </w:p>
    <w:p>
      <w:pPr>
        <w:spacing w:after="0" w:line="9" w:lineRule="exact"/>
        <w:rPr>
          <w:sz w:val="24"/>
          <w:szCs w:val="24"/>
          <w:color w:val="auto"/>
        </w:rPr>
      </w:pPr>
    </w:p>
    <w:p>
      <w:pPr>
        <w:ind w:left="260" w:right="259" w:firstLine="258"/>
        <w:spacing w:after="0" w:line="231" w:lineRule="auto"/>
        <w:rPr>
          <w:sz w:val="20"/>
          <w:szCs w:val="20"/>
          <w:color w:val="auto"/>
        </w:rPr>
      </w:pPr>
      <w:r>
        <w:rPr>
          <w:rFonts w:ascii="Times New Roman" w:cs="Times New Roman" w:eastAsia="Times New Roman" w:hAnsi="Times New Roman"/>
          <w:sz w:val="13"/>
          <w:szCs w:val="13"/>
          <w:color w:val="FFFFFF"/>
        </w:rPr>
        <w:t>Atlas Point Energy Infrastructure Fund, LLC, Norges Bank Investment Management, a division of Norges Bank, Wellington Management, and one or more funds and/or accounts managed by Capital Research Global Investors (collectively, the “Cornerstone Investors”) have, severally and not jointly, indicated an interest in purchasing up to an aggregate of $350 million in shares of our Class A common stock in this offering at the initial public offering price and on the same terms and conditions as the other purchasers in this offering. The shares of Class A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of our Class A common stock purchased by the Cornerstone Investors as they will from the other shares sold to the public in this offering.</w:t>
      </w:r>
    </w:p>
    <w:p>
      <w:pPr>
        <w:spacing w:after="0" w:line="41" w:lineRule="exact"/>
        <w:rPr>
          <w:sz w:val="24"/>
          <w:szCs w:val="24"/>
          <w:color w:val="auto"/>
        </w:rPr>
      </w:pPr>
    </w:p>
    <w:p>
      <w:pPr>
        <w:ind w:left="260" w:right="619" w:firstLine="258"/>
        <w:spacing w:after="0" w:line="251" w:lineRule="auto"/>
        <w:rPr>
          <w:sz w:val="20"/>
          <w:szCs w:val="20"/>
          <w:color w:val="auto"/>
        </w:rPr>
      </w:pPr>
      <w:r>
        <w:rPr>
          <w:rFonts w:ascii="Times New Roman" w:cs="Times New Roman" w:eastAsia="Times New Roman" w:hAnsi="Times New Roman"/>
          <w:sz w:val="13"/>
          <w:szCs w:val="13"/>
          <w:color w:val="FFFFFF"/>
        </w:rPr>
        <w:t>Neither the Securities and Exchange Commission nor any state securities commission or any other regulatory body has approved or disapproved of these securities or passed upon the accuracy or adequacy of this prospectus. Any representation to the contrary is a criminal offense.</w:t>
      </w:r>
    </w:p>
    <w:p>
      <w:pPr>
        <w:spacing w:after="0" w:line="14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FFFFFF"/>
        </w:rPr>
        <w:t>The underwriters expect to deliver the shares to purchasers on or about May 14, 2026.</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FFFFFF"/>
        </w:rPr>
        <w:t>Joint Lead Bookrunning Managers</w:t>
      </w:r>
    </w:p>
    <w:p>
      <w:pPr>
        <w:sectPr>
          <w:pgSz w:w="11900" w:h="16838" w:orient="portrait"/>
          <w:cols w:equalWidth="0" w:num="1">
            <w:col w:w="9019"/>
          </w:cols>
          <w:pgMar w:left="1440" w:top="342" w:right="1440" w:bottom="1440" w:gutter="0" w:footer="0" w:header="0"/>
        </w:sectPr>
      </w:pPr>
    </w:p>
    <w:p>
      <w:pPr>
        <w:spacing w:after="0" w:line="4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FFFFFF"/>
        </w:rPr>
        <w:t>J.P. Morgan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FFFFFF"/>
        </w:rPr>
        <w:t>BofA Securities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b w:val="1"/>
          <w:bCs w:val="1"/>
          <w:color w:val="FFFFFF"/>
        </w:rPr>
        <w:t>RBC Capital Markets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FFFFFF"/>
        </w:rPr>
        <w:t>Barclays</w:t>
      </w:r>
    </w:p>
    <w:p>
      <w:pPr>
        <w:spacing w:after="0" w:line="71" w:lineRule="exact"/>
        <w:rPr>
          <w:sz w:val="24"/>
          <w:szCs w:val="24"/>
          <w:color w:val="auto"/>
        </w:rPr>
      </w:pPr>
    </w:p>
    <w:p>
      <w:pPr>
        <w:sectPr>
          <w:pgSz w:w="11900" w:h="16838" w:orient="portrait"/>
          <w:cols w:equalWidth="0" w:num="4">
            <w:col w:w="1860" w:space="720"/>
            <w:col w:w="1520" w:space="480"/>
            <w:col w:w="2160" w:space="620"/>
            <w:col w:w="1659"/>
          </w:cols>
          <w:pgMar w:left="1440" w:top="34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FFFFFF"/>
        </w:rPr>
        <w:t>Bookrunning Managers</w:t>
      </w:r>
    </w:p>
    <w:p>
      <w:pPr>
        <w:sectPr>
          <w:pgSz w:w="11900" w:h="16838" w:orient="portrait"/>
          <w:cols w:equalWidth="0" w:num="1">
            <w:col w:w="9019"/>
          </w:cols>
          <w:pgMar w:left="1440" w:top="342" w:right="1440" w:bottom="1440" w:gutter="0" w:footer="0" w:header="0"/>
          <w:type w:val="continuous"/>
        </w:sectPr>
      </w:pPr>
    </w:p>
    <w:p>
      <w:pPr>
        <w:spacing w:after="0" w:line="46"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FFFFFF"/>
        </w:rPr>
        <w:t>Baird</w:t>
      </w:r>
    </w:p>
    <w:p>
      <w:pPr>
        <w:spacing w:after="0" w:line="20"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FFFFFF"/>
        </w:rPr>
        <w:t>Societe Generale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FFFFFF"/>
        </w:rPr>
        <w:t>BBVA</w:t>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FFFFFF"/>
        </w:rPr>
        <w:t>William Blair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Guggenheim Securities</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Piper Sandler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FFFFFF"/>
        </w:rPr>
        <w:t>MUFG</w:t>
      </w:r>
    </w:p>
    <w:p>
      <w:pPr>
        <w:spacing w:after="0" w:line="2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FFFFFF"/>
        </w:rPr>
        <w:t>Wolfe | Nomura Alliance</w:t>
      </w:r>
    </w:p>
    <w:p>
      <w:pPr>
        <w:spacing w:after="0" w:line="119" w:lineRule="exact"/>
        <w:rPr>
          <w:sz w:val="24"/>
          <w:szCs w:val="24"/>
          <w:color w:val="auto"/>
        </w:rPr>
      </w:pPr>
    </w:p>
    <w:p>
      <w:pPr>
        <w:sectPr>
          <w:pgSz w:w="11900" w:h="16838" w:orient="portrait"/>
          <w:cols w:equalWidth="0" w:num="4">
            <w:col w:w="2220" w:space="720"/>
            <w:col w:w="1060" w:space="720"/>
            <w:col w:w="1700" w:space="360"/>
            <w:col w:w="2239"/>
          </w:cols>
          <w:pgMar w:left="1440" w:top="34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FFFFFF"/>
        </w:rPr>
        <w:t>Prospectus dated May 12, 2026.</w:t>
      </w:r>
    </w:p>
    <w:p>
      <w:pPr>
        <w:sectPr>
          <w:pgSz w:w="11900" w:h="16838" w:orient="portrait"/>
          <w:cols w:equalWidth="0" w:num="1">
            <w:col w:w="9019"/>
          </w:cols>
          <w:pgMar w:left="1440" w:top="342" w:right="1440"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67" w:lineRule="exact"/>
        <w:rPr>
          <w:sz w:val="20"/>
          <w:szCs w:val="20"/>
          <w:color w:val="auto"/>
        </w:rPr>
      </w:pPr>
    </w:p>
    <w:p>
      <w:pPr>
        <w:ind w:left="1200"/>
        <w:spacing w:after="0"/>
        <w:tabs>
          <w:tab w:leader="dot" w:pos="7720" w:val="left"/>
        </w:tabs>
        <w:rPr>
          <w:sz w:val="20"/>
          <w:szCs w:val="20"/>
          <w:color w:val="auto"/>
        </w:rPr>
      </w:pPr>
      <w:r>
        <w:rPr>
          <w:rFonts w:ascii="Times New Roman" w:cs="Times New Roman" w:eastAsia="Times New Roman" w:hAnsi="Times New Roman"/>
          <w:sz w:val="14"/>
          <w:szCs w:val="14"/>
          <w:u w:val="single" w:color="auto"/>
          <w:color w:val="0000FF"/>
        </w:rPr>
        <w:t>Letter from Tim Latimer, Chief Executive Officer</w:t>
      </w:r>
      <w:r>
        <w:rPr>
          <w:sz w:val="20"/>
          <w:szCs w:val="20"/>
          <w:color w:val="auto"/>
        </w:rPr>
        <w:tab/>
      </w:r>
      <w:r>
        <w:rPr>
          <w:rFonts w:ascii="Times New Roman" w:cs="Times New Roman" w:eastAsia="Times New Roman" w:hAnsi="Times New Roman"/>
          <w:sz w:val="14"/>
          <w:szCs w:val="14"/>
          <w:u w:val="single" w:color="auto"/>
          <w:color w:val="0000FF"/>
        </w:rPr>
        <w:t>4</w:t>
      </w:r>
    </w:p>
    <w:p>
      <w:pPr>
        <w:spacing w:after="0" w:line="43" w:lineRule="exact"/>
        <w:rPr>
          <w:sz w:val="20"/>
          <w:szCs w:val="20"/>
          <w:color w:val="auto"/>
        </w:rPr>
      </w:pPr>
    </w:p>
    <w:p>
      <w:pPr>
        <w:ind w:left="1200"/>
        <w:spacing w:after="0"/>
        <w:tabs>
          <w:tab w:leader="dot" w:pos="7720" w:val="left"/>
        </w:tabs>
        <w:rPr>
          <w:sz w:val="20"/>
          <w:szCs w:val="20"/>
          <w:color w:val="auto"/>
        </w:rPr>
      </w:pPr>
      <w:r>
        <w:rPr>
          <w:rFonts w:ascii="Times New Roman" w:cs="Times New Roman" w:eastAsia="Times New Roman" w:hAnsi="Times New Roman"/>
          <w:sz w:val="14"/>
          <w:szCs w:val="14"/>
          <w:u w:val="single" w:color="auto"/>
          <w:color w:val="0000FF"/>
        </w:rPr>
        <w:t>Prospectus Summary</w:t>
      </w:r>
      <w:r>
        <w:rPr>
          <w:sz w:val="20"/>
          <w:szCs w:val="20"/>
          <w:color w:val="auto"/>
        </w:rPr>
        <w:tab/>
      </w:r>
      <w:r>
        <w:rPr>
          <w:rFonts w:ascii="Times New Roman" w:cs="Times New Roman" w:eastAsia="Times New Roman" w:hAnsi="Times New Roman"/>
          <w:sz w:val="14"/>
          <w:szCs w:val="14"/>
          <w:u w:val="single" w:color="auto"/>
          <w:color w:val="0000FF"/>
        </w:rPr>
        <w:t>6</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The Offering</w:t>
      </w:r>
      <w:r>
        <w:rPr>
          <w:sz w:val="20"/>
          <w:szCs w:val="20"/>
          <w:color w:val="auto"/>
        </w:rPr>
        <w:tab/>
      </w:r>
      <w:r>
        <w:rPr>
          <w:rFonts w:ascii="Times New Roman" w:cs="Times New Roman" w:eastAsia="Times New Roman" w:hAnsi="Times New Roman"/>
          <w:sz w:val="14"/>
          <w:szCs w:val="14"/>
          <w:u w:val="single" w:color="auto"/>
          <w:color w:val="0000FF"/>
        </w:rPr>
        <w:t>26</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Market and Industry Data</w:t>
      </w:r>
      <w:r>
        <w:rPr>
          <w:sz w:val="20"/>
          <w:szCs w:val="20"/>
          <w:color w:val="auto"/>
        </w:rPr>
        <w:tab/>
      </w:r>
      <w:r>
        <w:rPr>
          <w:rFonts w:ascii="Times New Roman" w:cs="Times New Roman" w:eastAsia="Times New Roman" w:hAnsi="Times New Roman"/>
          <w:sz w:val="14"/>
          <w:szCs w:val="14"/>
          <w:u w:val="single" w:color="auto"/>
          <w:color w:val="0000FF"/>
        </w:rPr>
        <w:t>35</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Estimates of Capacity Potential</w:t>
      </w:r>
      <w:r>
        <w:rPr>
          <w:sz w:val="20"/>
          <w:szCs w:val="20"/>
          <w:color w:val="auto"/>
        </w:rPr>
        <w:tab/>
      </w:r>
      <w:r>
        <w:rPr>
          <w:rFonts w:ascii="Times New Roman" w:cs="Times New Roman" w:eastAsia="Times New Roman" w:hAnsi="Times New Roman"/>
          <w:sz w:val="14"/>
          <w:szCs w:val="14"/>
          <w:u w:val="single" w:color="auto"/>
          <w:color w:val="0000FF"/>
        </w:rPr>
        <w:t>36</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Cautionary Note Regarding Forward-Looking Statements</w:t>
      </w:r>
      <w:r>
        <w:rPr>
          <w:sz w:val="20"/>
          <w:szCs w:val="20"/>
          <w:color w:val="auto"/>
        </w:rPr>
        <w:tab/>
      </w:r>
      <w:r>
        <w:rPr>
          <w:rFonts w:ascii="Times New Roman" w:cs="Times New Roman" w:eastAsia="Times New Roman" w:hAnsi="Times New Roman"/>
          <w:sz w:val="14"/>
          <w:szCs w:val="14"/>
          <w:u w:val="single" w:color="auto"/>
          <w:color w:val="0000FF"/>
        </w:rPr>
        <w:t>37</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Risk Factors</w:t>
      </w:r>
      <w:r>
        <w:rPr>
          <w:sz w:val="20"/>
          <w:szCs w:val="20"/>
          <w:color w:val="auto"/>
        </w:rPr>
        <w:tab/>
      </w:r>
      <w:r>
        <w:rPr>
          <w:rFonts w:ascii="Times New Roman" w:cs="Times New Roman" w:eastAsia="Times New Roman" w:hAnsi="Times New Roman"/>
          <w:sz w:val="14"/>
          <w:szCs w:val="14"/>
          <w:u w:val="single" w:color="auto"/>
          <w:color w:val="0000FF"/>
        </w:rPr>
        <w:t>39</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Use of Proceeds</w:t>
      </w:r>
      <w:r>
        <w:rPr>
          <w:sz w:val="20"/>
          <w:szCs w:val="20"/>
          <w:color w:val="auto"/>
        </w:rPr>
        <w:tab/>
      </w:r>
      <w:r>
        <w:rPr>
          <w:rFonts w:ascii="Times New Roman" w:cs="Times New Roman" w:eastAsia="Times New Roman" w:hAnsi="Times New Roman"/>
          <w:sz w:val="14"/>
          <w:szCs w:val="14"/>
          <w:u w:val="single" w:color="auto"/>
          <w:color w:val="0000FF"/>
        </w:rPr>
        <w:t>92</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Dividend Policy</w:t>
      </w:r>
      <w:r>
        <w:rPr>
          <w:sz w:val="20"/>
          <w:szCs w:val="20"/>
          <w:color w:val="auto"/>
        </w:rPr>
        <w:tab/>
      </w:r>
      <w:r>
        <w:rPr>
          <w:rFonts w:ascii="Times New Roman" w:cs="Times New Roman" w:eastAsia="Times New Roman" w:hAnsi="Times New Roman"/>
          <w:sz w:val="14"/>
          <w:szCs w:val="14"/>
          <w:u w:val="single" w:color="auto"/>
          <w:color w:val="0000FF"/>
        </w:rPr>
        <w:t>93</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Capitalization</w:t>
      </w:r>
      <w:r>
        <w:rPr>
          <w:sz w:val="20"/>
          <w:szCs w:val="20"/>
          <w:color w:val="auto"/>
        </w:rPr>
        <w:tab/>
      </w:r>
      <w:r>
        <w:rPr>
          <w:rFonts w:ascii="Times New Roman" w:cs="Times New Roman" w:eastAsia="Times New Roman" w:hAnsi="Times New Roman"/>
          <w:sz w:val="14"/>
          <w:szCs w:val="14"/>
          <w:u w:val="single" w:color="auto"/>
          <w:color w:val="0000FF"/>
        </w:rPr>
        <w:t>94</w:t>
      </w:r>
    </w:p>
    <w:p>
      <w:pPr>
        <w:spacing w:after="0" w:line="43" w:lineRule="exact"/>
        <w:rPr>
          <w:sz w:val="20"/>
          <w:szCs w:val="20"/>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Dilution</w:t>
      </w:r>
      <w:r>
        <w:rPr>
          <w:sz w:val="20"/>
          <w:szCs w:val="20"/>
          <w:color w:val="auto"/>
        </w:rPr>
        <w:tab/>
      </w:r>
      <w:r>
        <w:rPr>
          <w:rFonts w:ascii="Times New Roman" w:cs="Times New Roman" w:eastAsia="Times New Roman" w:hAnsi="Times New Roman"/>
          <w:sz w:val="14"/>
          <w:szCs w:val="14"/>
          <w:u w:val="single" w:color="auto"/>
          <w:color w:val="0000FF"/>
        </w:rPr>
        <w:t>96</w:t>
      </w:r>
    </w:p>
    <w:p>
      <w:pPr>
        <w:sectPr>
          <w:pgSz w:w="11900" w:h="16907" w:orient="portrait"/>
          <w:cols w:equalWidth="0" w:num="1">
            <w:col w:w="9019"/>
          </w:cols>
          <w:pgMar w:left="1440" w:top="1440" w:right="1440" w:bottom="0" w:gutter="0" w:footer="0" w:header="0"/>
        </w:sectPr>
      </w:pPr>
    </w:p>
    <w:bookmarkStart w:id="3" w:name="page4"/>
    <w:bookmarkEnd w:id="3"/>
    <w:p>
      <w:pPr>
        <w:ind w:left="748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Page</w:t>
      </w: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Management's Discussion and Analysis of Financial Condition and Results of Operations</w:t>
      </w:r>
      <w:r>
        <w:rPr>
          <w:sz w:val="20"/>
          <w:szCs w:val="20"/>
          <w:color w:val="auto"/>
        </w:rPr>
        <w:tab/>
      </w:r>
      <w:r>
        <w:rPr>
          <w:rFonts w:ascii="Times New Roman" w:cs="Times New Roman" w:eastAsia="Times New Roman" w:hAnsi="Times New Roman"/>
          <w:sz w:val="14"/>
          <w:szCs w:val="14"/>
          <w:u w:val="single" w:color="auto"/>
          <w:color w:val="0000FF"/>
        </w:rPr>
        <w:t>98</w:t>
      </w:r>
    </w:p>
    <w:p>
      <w:pPr>
        <w:spacing w:after="0" w:line="27"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Business</w:t>
      </w:r>
      <w:r>
        <w:rPr>
          <w:sz w:val="20"/>
          <w:szCs w:val="20"/>
          <w:color w:val="auto"/>
        </w:rPr>
        <w:tab/>
      </w:r>
      <w:r>
        <w:rPr>
          <w:rFonts w:ascii="Times New Roman" w:cs="Times New Roman" w:eastAsia="Times New Roman" w:hAnsi="Times New Roman"/>
          <w:sz w:val="14"/>
          <w:szCs w:val="14"/>
          <w:u w:val="single" w:color="auto"/>
          <w:color w:val="0000FF"/>
        </w:rPr>
        <w:t>117</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Management</w:t>
      </w:r>
      <w:r>
        <w:rPr>
          <w:sz w:val="20"/>
          <w:szCs w:val="20"/>
          <w:color w:val="auto"/>
        </w:rPr>
        <w:tab/>
      </w:r>
      <w:r>
        <w:rPr>
          <w:rFonts w:ascii="Times New Roman" w:cs="Times New Roman" w:eastAsia="Times New Roman" w:hAnsi="Times New Roman"/>
          <w:sz w:val="14"/>
          <w:szCs w:val="14"/>
          <w:u w:val="single" w:color="auto"/>
          <w:color w:val="0000FF"/>
        </w:rPr>
        <w:t>142</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Executive and Director Compensation</w:t>
      </w:r>
      <w:r>
        <w:rPr>
          <w:sz w:val="20"/>
          <w:szCs w:val="20"/>
          <w:color w:val="auto"/>
        </w:rPr>
        <w:tab/>
      </w:r>
      <w:r>
        <w:rPr>
          <w:rFonts w:ascii="Times New Roman" w:cs="Times New Roman" w:eastAsia="Times New Roman" w:hAnsi="Times New Roman"/>
          <w:sz w:val="14"/>
          <w:szCs w:val="14"/>
          <w:u w:val="single" w:color="auto"/>
          <w:color w:val="0000FF"/>
        </w:rPr>
        <w:t>149</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Principal Stockholders</w:t>
      </w:r>
      <w:r>
        <w:rPr>
          <w:sz w:val="20"/>
          <w:szCs w:val="20"/>
          <w:color w:val="auto"/>
        </w:rPr>
        <w:tab/>
      </w:r>
      <w:r>
        <w:rPr>
          <w:rFonts w:ascii="Times New Roman" w:cs="Times New Roman" w:eastAsia="Times New Roman" w:hAnsi="Times New Roman"/>
          <w:sz w:val="14"/>
          <w:szCs w:val="14"/>
          <w:u w:val="single" w:color="auto"/>
          <w:color w:val="0000FF"/>
        </w:rPr>
        <w:t>166</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Certain Relationships and Related Party Transactions</w:t>
      </w:r>
      <w:r>
        <w:rPr>
          <w:sz w:val="20"/>
          <w:szCs w:val="20"/>
          <w:color w:val="auto"/>
        </w:rPr>
        <w:tab/>
      </w:r>
      <w:r>
        <w:rPr>
          <w:rFonts w:ascii="Times New Roman" w:cs="Times New Roman" w:eastAsia="Times New Roman" w:hAnsi="Times New Roman"/>
          <w:sz w:val="14"/>
          <w:szCs w:val="14"/>
          <w:u w:val="single" w:color="auto"/>
          <w:color w:val="0000FF"/>
        </w:rPr>
        <w:t>169</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Description of Capital Stock</w:t>
      </w:r>
      <w:r>
        <w:rPr>
          <w:sz w:val="20"/>
          <w:szCs w:val="20"/>
          <w:color w:val="auto"/>
        </w:rPr>
        <w:tab/>
      </w:r>
      <w:r>
        <w:rPr>
          <w:rFonts w:ascii="Times New Roman" w:cs="Times New Roman" w:eastAsia="Times New Roman" w:hAnsi="Times New Roman"/>
          <w:sz w:val="14"/>
          <w:szCs w:val="14"/>
          <w:u w:val="single" w:color="auto"/>
          <w:color w:val="0000FF"/>
        </w:rPr>
        <w:t>173</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Shares Eligible for Future Sale</w:t>
      </w:r>
      <w:r>
        <w:rPr>
          <w:sz w:val="20"/>
          <w:szCs w:val="20"/>
          <w:color w:val="auto"/>
        </w:rPr>
        <w:tab/>
      </w:r>
      <w:r>
        <w:rPr>
          <w:rFonts w:ascii="Times New Roman" w:cs="Times New Roman" w:eastAsia="Times New Roman" w:hAnsi="Times New Roman"/>
          <w:sz w:val="14"/>
          <w:szCs w:val="14"/>
          <w:u w:val="single" w:color="auto"/>
          <w:color w:val="0000FF"/>
        </w:rPr>
        <w:t>180</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Material U.S. Federal Income Tax Considerations for Non-U.S. Holders of Common Stock</w:t>
      </w:r>
      <w:r>
        <w:rPr>
          <w:sz w:val="20"/>
          <w:szCs w:val="20"/>
          <w:color w:val="auto"/>
        </w:rPr>
        <w:tab/>
      </w:r>
      <w:r>
        <w:rPr>
          <w:rFonts w:ascii="Times New Roman" w:cs="Times New Roman" w:eastAsia="Times New Roman" w:hAnsi="Times New Roman"/>
          <w:sz w:val="14"/>
          <w:szCs w:val="14"/>
          <w:u w:val="single" w:color="auto"/>
          <w:color w:val="0000FF"/>
        </w:rPr>
        <w:t>184</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Underwriting</w:t>
      </w:r>
      <w:r>
        <w:rPr>
          <w:sz w:val="20"/>
          <w:szCs w:val="20"/>
          <w:color w:val="auto"/>
        </w:rPr>
        <w:tab/>
      </w:r>
      <w:r>
        <w:rPr>
          <w:rFonts w:ascii="Times New Roman" w:cs="Times New Roman" w:eastAsia="Times New Roman" w:hAnsi="Times New Roman"/>
          <w:sz w:val="14"/>
          <w:szCs w:val="14"/>
          <w:u w:val="single" w:color="auto"/>
          <w:color w:val="0000FF"/>
        </w:rPr>
        <w:t>188</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Legal Matters</w:t>
      </w:r>
      <w:r>
        <w:rPr>
          <w:sz w:val="20"/>
          <w:szCs w:val="20"/>
          <w:color w:val="auto"/>
        </w:rPr>
        <w:tab/>
      </w:r>
      <w:r>
        <w:rPr>
          <w:rFonts w:ascii="Times New Roman" w:cs="Times New Roman" w:eastAsia="Times New Roman" w:hAnsi="Times New Roman"/>
          <w:sz w:val="14"/>
          <w:szCs w:val="14"/>
          <w:u w:val="single" w:color="auto"/>
          <w:color w:val="0000FF"/>
        </w:rPr>
        <w:t>198</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Experts</w:t>
      </w:r>
      <w:r>
        <w:rPr>
          <w:sz w:val="20"/>
          <w:szCs w:val="20"/>
          <w:color w:val="auto"/>
        </w:rPr>
        <w:tab/>
      </w:r>
      <w:r>
        <w:rPr>
          <w:rFonts w:ascii="Times New Roman" w:cs="Times New Roman" w:eastAsia="Times New Roman" w:hAnsi="Times New Roman"/>
          <w:sz w:val="14"/>
          <w:szCs w:val="14"/>
          <w:u w:val="single" w:color="auto"/>
          <w:color w:val="0000FF"/>
        </w:rPr>
        <w:t>198</w:t>
      </w:r>
    </w:p>
    <w:p>
      <w:pPr>
        <w:spacing w:after="0" w:line="4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Where You Can Find More Information</w:t>
      </w:r>
      <w:r>
        <w:rPr>
          <w:sz w:val="20"/>
          <w:szCs w:val="20"/>
          <w:color w:val="auto"/>
        </w:rPr>
        <w:tab/>
      </w:r>
      <w:r>
        <w:rPr>
          <w:rFonts w:ascii="Times New Roman" w:cs="Times New Roman" w:eastAsia="Times New Roman" w:hAnsi="Times New Roman"/>
          <w:sz w:val="14"/>
          <w:szCs w:val="14"/>
          <w:u w:val="single" w:color="auto"/>
          <w:color w:val="0000FF"/>
        </w:rPr>
        <w:t>198</w:t>
      </w:r>
    </w:p>
    <w:p>
      <w:pPr>
        <w:spacing w:after="0" w:line="43" w:lineRule="exact"/>
        <w:rPr>
          <w:sz w:val="20"/>
          <w:szCs w:val="20"/>
          <w:color w:val="auto"/>
        </w:rPr>
      </w:pPr>
    </w:p>
    <w:p>
      <w:pPr>
        <w:ind w:left="1200"/>
        <w:spacing w:after="0"/>
        <w:tabs>
          <w:tab w:leader="none" w:pos="7600" w:val="left"/>
        </w:tabs>
        <w:rPr>
          <w:sz w:val="20"/>
          <w:szCs w:val="20"/>
          <w:color w:val="auto"/>
        </w:rPr>
      </w:pPr>
      <w:r>
        <w:rPr>
          <w:rFonts w:ascii="Times New Roman" w:cs="Times New Roman" w:eastAsia="Times New Roman" w:hAnsi="Times New Roman"/>
          <w:sz w:val="14"/>
          <w:szCs w:val="14"/>
          <w:u w:val="single" w:color="auto"/>
          <w:color w:val="0000FF"/>
        </w:rPr>
        <w:t>Index to Consolidated Financial Statements</w:t>
      </w:r>
      <w:r>
        <w:rPr>
          <w:sz w:val="20"/>
          <w:szCs w:val="20"/>
          <w:color w:val="auto"/>
        </w:rPr>
        <w:tab/>
      </w:r>
      <w:r>
        <w:rPr>
          <w:rFonts w:ascii="Times New Roman" w:cs="Times New Roman" w:eastAsia="Times New Roman" w:hAnsi="Times New Roman"/>
          <w:sz w:val="14"/>
          <w:szCs w:val="14"/>
          <w:u w:val="single" w:color="auto"/>
          <w:color w:val="0000FF"/>
        </w:rPr>
        <w:t>F-1</w:t>
      </w:r>
    </w:p>
    <w:p>
      <w:pPr>
        <w:spacing w:after="0" w:line="200" w:lineRule="exact"/>
        <w:rPr>
          <w:sz w:val="20"/>
          <w:szCs w:val="20"/>
          <w:color w:val="auto"/>
        </w:rPr>
      </w:pPr>
    </w:p>
    <w:p>
      <w:pPr>
        <w:spacing w:after="0" w:line="228" w:lineRule="exact"/>
        <w:rPr>
          <w:sz w:val="20"/>
          <w:szCs w:val="20"/>
          <w:color w:val="auto"/>
        </w:rPr>
      </w:pPr>
    </w:p>
    <w:p>
      <w:pPr>
        <w:ind w:left="1160" w:right="1179" w:firstLine="258"/>
        <w:spacing w:after="0" w:line="269" w:lineRule="auto"/>
        <w:rPr>
          <w:sz w:val="20"/>
          <w:szCs w:val="20"/>
          <w:color w:val="auto"/>
        </w:rPr>
      </w:pPr>
      <w:r>
        <w:rPr>
          <w:rFonts w:ascii="Times New Roman" w:cs="Times New Roman" w:eastAsia="Times New Roman" w:hAnsi="Times New Roman"/>
          <w:sz w:val="14"/>
          <w:szCs w:val="14"/>
          <w:b w:val="1"/>
          <w:bCs w:val="1"/>
          <w:color w:val="auto"/>
        </w:rPr>
        <w:t>Through and including June 6, 2026 (the 25th day after the date of this prospectus) ,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9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any amendment or supplement to this prospectus or any free writing prospectus we may authorize to be delivered or made available to you. Neither we nor the underwriters have authorized anyone to provide you with additional or different information. If anyone provides you with additional, different or inconsistent information, you should not rely on it. Offers to sell, and solicitations of offers to buy, shares of our Class A common stock are being made only in jurisdictions where offers and sales are permitted. The information contained in this prospectus, any amendment or supplement to this prospectus or any applicable free writing prospectus is accurate only as of its date, regardless of the time of delivery of this prospectus, any amendment or supplement to this prospectus, any applicable free writing prospectus or of any sale of our Class A common stock. Our business, financial condition, operating results and prospects may have changed since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any amendment or supplement to this prospectus or any applicable free writing prospectus to be investment, legal or tax advice. You should consult your own counsel, accountant and other advisors for legal, tax, business, financial and related advice regarding the purchase of our Class A common stock. Neither we nor any underwriter (nor any of our or their affiliates) are making any representation to you regarding the legality of an investment in our Class A common stock by you under applicable investment or similar laws.</w:t>
      </w:r>
    </w:p>
    <w:p>
      <w:pPr>
        <w:spacing w:after="0" w:line="99"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For investors outside the United States </w:t>
      </w:r>
      <w:r>
        <w:rPr>
          <w:rFonts w:ascii="Times New Roman" w:cs="Times New Roman" w:eastAsia="Times New Roman" w:hAnsi="Times New Roman"/>
          <w:sz w:val="14"/>
          <w:szCs w:val="14"/>
          <w:color w:val="auto"/>
        </w:rPr>
        <w:t>: Neither we nor any of the underwriters have done anything that would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permit this offering or possession or distribution of this prospectus, any amendment or supplement to this prospectus or any applicable free writing prospectus in any jurisdiction where action for that purpose is required, other than in the United States. Persons outside of the United States who come into possession of this prospectus, any amendment or supplement to this prospectus or any applicable free writing prospectus must inform themselves about, and observe any restrictions relating to, this offering of our Class A common stock and the distribution of this prospectus, any amendment or supplement to this prospectus or any applicable free writing prospectus outside of the United States.</w:t>
      </w:r>
    </w:p>
    <w:p>
      <w:pPr>
        <w:sectPr>
          <w:pgSz w:w="11900" w:h="16838" w:orient="portrait"/>
          <w:cols w:equalWidth="0" w:num="1">
            <w:col w:w="9019"/>
          </w:cols>
          <w:pgMar w:left="1440" w:top="6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DEFINED TERMS AND PRESENTATION</w:t>
      </w:r>
    </w:p>
    <w:p>
      <w:pPr>
        <w:spacing w:after="0" w:line="140" w:lineRule="exact"/>
        <w:rPr>
          <w:sz w:val="20"/>
          <w:szCs w:val="20"/>
          <w:color w:val="auto"/>
        </w:rPr>
      </w:pPr>
    </w:p>
    <w:p>
      <w:pPr>
        <w:ind w:left="1420"/>
        <w:spacing w:after="0"/>
        <w:tabs>
          <w:tab w:leader="none" w:pos="6500" w:val="left"/>
        </w:tabs>
        <w:rPr>
          <w:sz w:val="20"/>
          <w:szCs w:val="20"/>
          <w:color w:val="auto"/>
        </w:rPr>
      </w:pPr>
      <w:r>
        <w:rPr>
          <w:rFonts w:ascii="Times New Roman" w:cs="Times New Roman" w:eastAsia="Times New Roman" w:hAnsi="Times New Roman"/>
          <w:sz w:val="14"/>
          <w:szCs w:val="14"/>
          <w:color w:val="auto"/>
        </w:rPr>
        <w:t>As used in this prospectus, unless the context otherwise requires, references to “</w:t>
      </w:r>
      <w:r>
        <w:rPr>
          <w:sz w:val="20"/>
          <w:szCs w:val="20"/>
          <w:color w:val="auto"/>
        </w:rPr>
        <w:tab/>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 xml:space="preserve"> us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 xml:space="preserve"> our</w:t>
      </w:r>
      <w:r>
        <w:rPr>
          <w:rFonts w:ascii="Times New Roman" w:cs="Times New Roman" w:eastAsia="Times New Roman" w:hAnsi="Times New Roman"/>
          <w:sz w:val="14"/>
          <w:szCs w:val="14"/>
          <w:color w:val="auto"/>
        </w:rPr>
        <w:t>,” the</w:t>
      </w:r>
    </w:p>
    <w:p>
      <w:pPr>
        <w:spacing w:after="0" w:line="27" w:lineRule="exact"/>
        <w:rPr>
          <w:sz w:val="20"/>
          <w:szCs w:val="20"/>
          <w:color w:val="auto"/>
        </w:rPr>
      </w:pPr>
    </w:p>
    <w:p>
      <w:pPr>
        <w:ind w:left="1160" w:right="161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Fervo Energy</w:t>
      </w:r>
      <w:r>
        <w:rPr>
          <w:rFonts w:ascii="Times New Roman" w:cs="Times New Roman" w:eastAsia="Times New Roman" w:hAnsi="Times New Roman"/>
          <w:sz w:val="14"/>
          <w:szCs w:val="14"/>
          <w:color w:val="auto"/>
        </w:rPr>
        <w:t xml:space="preserve"> ,” and similar references refer to Fervo Energy Company and its subsidiaries. In addition, the terms below that are used frequently in this prospectus have the following meanings:</w:t>
      </w:r>
    </w:p>
    <w:p>
      <w:pPr>
        <w:spacing w:after="0" w:line="94" w:lineRule="exact"/>
        <w:rPr>
          <w:sz w:val="20"/>
          <w:szCs w:val="20"/>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“2019 Plan” means the Fervo Energy Company 2019 Stock Incentive Plan, as amended.</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 Plan” means the Fervo Energy Company 2026 Incentive Award Plan.</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Bylaws” means our amended and restated bylaws.</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Charter” means our amended and restated certificate of incorporation.</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“BLM” means the Bureau of Land Management.</w:t>
      </w:r>
    </w:p>
    <w:p>
      <w:pPr>
        <w:spacing w:after="0" w:line="118"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“Cape Station” means our GeoCluster located in Milford, Utah, the first approximately 100 megawatts of which we expect will be delivered to the grid by early 2027.</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6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“Carbon-free” (or similar constructs) means carbon-free solely with respect to electricity generation from our EGS processes once our facilities are producing. The term is not intended to capture nor represent any other GHG emissions in our value chain, including other Scope 1 emissions (directly arising from operations), Scope 2 (indirect emissions from purchased electricity), or Scope 3 (upstream and downstream, including transportation and distribution). We do not make any claims regarding lifecycle greenhouse gas accounting.</w:t>
      </w:r>
    </w:p>
    <w:p>
      <w:pPr>
        <w:spacing w:after="0" w:line="263"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means Class A common stock, par value $0.0001 per share, of Fervo Energy Company.</w:t>
      </w:r>
    </w:p>
    <w:p>
      <w:pPr>
        <w:spacing w:after="0" w:line="80" w:lineRule="exact"/>
        <w:rPr>
          <w:rFonts w:ascii="Times New Roman" w:cs="Times New Roman" w:eastAsia="Times New Roman" w:hAnsi="Times New Roman"/>
          <w:sz w:val="14"/>
          <w:szCs w:val="14"/>
          <w:color w:val="auto"/>
        </w:rPr>
      </w:pPr>
    </w:p>
    <w:p>
      <w:pPr>
        <w:ind w:left="1660" w:right="149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common stock” means Class B common stock, par value $0.0001 per share, of Fervo Energy Company.</w:t>
      </w:r>
    </w:p>
    <w:p>
      <w:pPr>
        <w:spacing w:after="0" w:line="7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 means commercial operation date.</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means the U.S. Internal Revenue Code of 1986, as amended.</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“Co-Founders” means, together, Tim Latimer and Jack Norbeck, PhD.</w:t>
      </w:r>
    </w:p>
    <w:p>
      <w:pPr>
        <w:spacing w:after="0" w:line="128"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Agreement” means that certain Credit Agreement, dated November 20, 2024, as amended on May 21, 2025, July 23, 2025 and March 6, 2026 with Mercuria Energy Trading SA.</w:t>
      </w:r>
    </w:p>
    <w:p>
      <w:pPr>
        <w:spacing w:after="0" w:line="59"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Facility” means the $100.0 million term loan facility governed by the Credit Agreement and $80.0 million letter of credit facility governed by the Letter of Credit Facility Agreement.</w:t>
      </w:r>
    </w:p>
    <w:p>
      <w:pPr>
        <w:spacing w:after="0" w:line="7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“D&amp;M” means DeGolyer and MacNaughton, an independent engineering consulting firm.</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“EGS” means enhanced geothermal systems.</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“ESPP” means the Fervo Energy Company 2026 Employee Stock Purchase Plan.</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means the U.S. Securities and Exchange Act of 1934, as amended.</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“FERC” means the Federal Energy Regulatory Commission.</w:t>
      </w:r>
    </w:p>
    <w:p>
      <w:pPr>
        <w:spacing w:after="0" w:line="118" w:lineRule="exact"/>
        <w:rPr>
          <w:rFonts w:ascii="Times New Roman" w:cs="Times New Roman" w:eastAsia="Times New Roman" w:hAnsi="Times New Roman"/>
          <w:sz w:val="14"/>
          <w:szCs w:val="14"/>
          <w:color w:val="auto"/>
        </w:rPr>
      </w:pPr>
    </w:p>
    <w:p>
      <w:pPr>
        <w:ind w:left="1660" w:right="1299" w:hanging="249"/>
        <w:spacing w:after="0" w:line="263"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“FervoFlex” means our approach to delivering flexible, dispatchable geothermal power by using our EGS systems to provide long-duration, in-reservoir energy storage and rapid load following capability. During periods of low electricity demand or high renewable generation, production wells are choked back, allowing for pressure buildup within the reservoir. When grid demand rises, production wells are opened, releasing stored thermal energy and rapidly ramping power output. This operational flexibility enables geothermal to complement variable renewables and support a stable, decarbonized grid.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means accounting principles generally accepted in the United States.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“GeoBlock” means our standardized, 50-megawatt Organic Rankine Cycle power plants.</w:t>
      </w:r>
    </w:p>
    <w:p>
      <w:pPr>
        <w:spacing w:after="0" w:line="128" w:lineRule="exact"/>
        <w:rPr>
          <w:rFonts w:ascii="Times New Roman" w:cs="Times New Roman" w:eastAsia="Times New Roman" w:hAnsi="Times New Roman"/>
          <w:sz w:val="14"/>
          <w:szCs w:val="14"/>
          <w:color w:val="auto"/>
        </w:rPr>
      </w:pPr>
    </w:p>
    <w:p>
      <w:pPr>
        <w:ind w:left="1660" w:right="171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“GeoClusters” means our leased acreage positions that we expect to support multi-gigawatt power developments.</w:t>
      </w:r>
    </w:p>
    <w:p>
      <w:pPr>
        <w:spacing w:after="0" w:line="59" w:lineRule="exact"/>
        <w:rPr>
          <w:rFonts w:ascii="Times New Roman" w:cs="Times New Roman" w:eastAsia="Times New Roman" w:hAnsi="Times New Roman"/>
          <w:sz w:val="14"/>
          <w:szCs w:val="14"/>
          <w:color w:val="auto"/>
        </w:rPr>
      </w:pPr>
    </w:p>
    <w:p>
      <w:pPr>
        <w:ind w:left="1660" w:right="165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“Geothermal resources” means thermal energy derived from the Earth’s natural heat and stored in a reservoir.</w:t>
      </w:r>
    </w:p>
    <w:p>
      <w:pPr>
        <w:sectPr>
          <w:pgSz w:w="11900" w:h="16880" w:orient="portrait"/>
          <w:cols w:equalWidth="0" w:num="1">
            <w:col w:w="9019"/>
          </w:cols>
          <w:pgMar w:left="1440" w:top="1440" w:right="1440" w:bottom="0" w:gutter="0" w:footer="0" w:header="0"/>
        </w:sectPr>
      </w:pPr>
    </w:p>
    <w:bookmarkStart w:id="5" w:name="page6"/>
    <w:bookmarkEnd w:id="5"/>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“GFA” means the Geothermal Framework Agreement, dated March 19, 2026, with Google Energy LLC.</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“GWh” means gigawatt-hours.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“HIIP” or “heat initially in place” means those estimates of quantities of thermal energy generated from geothermal resources.</w:t>
      </w:r>
    </w:p>
    <w:p>
      <w:pPr>
        <w:spacing w:after="0" w:line="5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“LCOE” means levelized cost of energy.</w:t>
      </w:r>
    </w:p>
    <w:p>
      <w:pPr>
        <w:spacing w:after="0" w:line="128" w:lineRule="exact"/>
        <w:rPr>
          <w:rFonts w:ascii="Times New Roman" w:cs="Times New Roman" w:eastAsia="Times New Roman" w:hAnsi="Times New Roman"/>
          <w:sz w:val="14"/>
          <w:szCs w:val="14"/>
          <w:color w:val="auto"/>
        </w:rPr>
      </w:pPr>
    </w:p>
    <w:p>
      <w:pPr>
        <w:ind w:left="1660" w:right="165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 of Credit Facility Agreement” means that certain Letter of Credit Facility Agreement, dated November 20, 2024, with Mercuria Energy Trading SA.</w:t>
      </w:r>
    </w:p>
    <w:p>
      <w:pPr>
        <w:spacing w:after="0" w:line="7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“NEPA” means the National Environmental Policy Act.</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“NERC” means the North American Electric Reliability Corporation.</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“ORC” means Organic Rankine Cycle.</w:t>
      </w:r>
    </w:p>
    <w:p>
      <w:pPr>
        <w:spacing w:after="0" w:line="128"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“PPAs” means power purchase agreements or any other agreements pursuant to which we sell power or related attributes to our customers.</w:t>
      </w:r>
    </w:p>
    <w:p>
      <w:pPr>
        <w:spacing w:after="0" w:line="59"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Red” means our commercial pilot use of horizontal wells in an EGS system in northern Nevada, which was a limited-scope, proof-of-concept initiative designed to demonstrate certain technical capabilities.</w:t>
      </w:r>
    </w:p>
    <w:p>
      <w:pPr>
        <w:spacing w:after="0" w:line="82" w:lineRule="exact"/>
        <w:rPr>
          <w:rFonts w:ascii="Times New Roman" w:cs="Times New Roman" w:eastAsia="Times New Roman" w:hAnsi="Times New Roman"/>
          <w:sz w:val="14"/>
          <w:szCs w:val="14"/>
          <w:color w:val="auto"/>
        </w:rPr>
      </w:pPr>
    </w:p>
    <w:p>
      <w:pPr>
        <w:ind w:left="1660" w:right="1359" w:hanging="249"/>
        <w:spacing w:after="0" w:line="27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Granite Facility” means the construction loan facility, ITC Transfer bridge loan facility, letter of credit facilities, and a term loan facility, dated March 6, 2026 in the aggregate amount of approximately $421.4 million.</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“R&amp;D” means research and development.</w:t>
      </w:r>
    </w:p>
    <w:p>
      <w:pPr>
        <w:spacing w:after="0" w:line="12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means Securities and Exchange Commission.</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Act” means the U.S. Securities Act of 1933, as amended.</w:t>
      </w:r>
    </w:p>
    <w:p>
      <w:pPr>
        <w:spacing w:after="0" w:line="129" w:lineRule="exact"/>
        <w:rPr>
          <w:sz w:val="20"/>
          <w:szCs w:val="20"/>
          <w:color w:val="auto"/>
        </w:rPr>
      </w:pPr>
    </w:p>
    <w:p>
      <w:pPr>
        <w:ind w:left="1660" w:right="1219" w:hanging="239"/>
        <w:spacing w:after="0" w:line="274" w:lineRule="auto"/>
        <w:tabs>
          <w:tab w:leader="none" w:pos="1640" w:val="left"/>
        </w:tabs>
        <w:rPr>
          <w:sz w:val="20"/>
          <w:szCs w:val="20"/>
          <w:color w:val="auto"/>
        </w:rPr>
      </w:pPr>
      <w:r>
        <w:rPr>
          <w:rFonts w:ascii="Times New Roman" w:cs="Times New Roman" w:eastAsia="Times New Roman" w:hAnsi="Times New Roman"/>
          <w:sz w:val="14"/>
          <w:szCs w:val="14"/>
          <w:color w:val="auto"/>
        </w:rPr>
        <w:t>•</w:t>
        <w:tab/>
        <w:t>“Stock Split” means the 0.7194-for-1 reverse stock split of our common stock , which will occur upon the filing of our Amended Charter after the effectiveness of the registration statement to which this offering relates and prior to the completion of this offering.</w:t>
      </w:r>
    </w:p>
    <w:p>
      <w:pPr>
        <w:spacing w:after="0" w:line="82" w:lineRule="exact"/>
        <w:rPr>
          <w:sz w:val="20"/>
          <w:szCs w:val="20"/>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“TWh” means terawatt-hours.</w:t>
      </w:r>
    </w:p>
    <w:p>
      <w:pPr>
        <w:spacing w:after="0" w:line="118"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“VRE” means variable renewable energy.</w:t>
      </w:r>
    </w:p>
    <w:p>
      <w:pPr>
        <w:spacing w:after="0" w:line="128"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“XRC Facility” means three promissory notes in the aggregate amount of $145.6 million under a loan agreement with XRL ALC, LLC. This facility was terminated on April 14, 2026.</w:t>
      </w:r>
    </w:p>
    <w:p>
      <w:pPr>
        <w:spacing w:after="0" w:line="81"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spacing w:after="0" w:line="292" w:lineRule="auto"/>
        <w:rPr>
          <w:sz w:val="20"/>
          <w:szCs w:val="20"/>
          <w:color w:val="auto"/>
        </w:rPr>
      </w:pPr>
      <w:r>
        <w:rPr>
          <w:rFonts w:ascii="Times New Roman" w:cs="Times New Roman" w:eastAsia="Times New Roman" w:hAnsi="Times New Roman"/>
          <w:sz w:val="14"/>
          <w:szCs w:val="14"/>
          <w:color w:val="auto"/>
        </w:rPr>
        <w:t>our consolidated financial statements included elsewhere in this prospectus. Certain other amounts that appear in this prospectus may not sum due to rounding.</w:t>
      </w:r>
    </w:p>
    <w:p>
      <w:pPr>
        <w:spacing w:after="0" w:line="81" w:lineRule="exact"/>
        <w:rPr>
          <w:sz w:val="20"/>
          <w:szCs w:val="20"/>
          <w:color w:val="auto"/>
        </w:rPr>
      </w:pPr>
    </w:p>
    <w:p>
      <w:pPr>
        <w:ind w:left="1160" w:right="1219" w:firstLine="258"/>
        <w:spacing w:after="0" w:line="252" w:lineRule="auto"/>
        <w:rPr>
          <w:sz w:val="20"/>
          <w:szCs w:val="20"/>
          <w:color w:val="auto"/>
        </w:rPr>
      </w:pPr>
      <w:r>
        <w:rPr>
          <w:rFonts w:ascii="Times New Roman" w:cs="Times New Roman" w:eastAsia="Times New Roman" w:hAnsi="Times New Roman"/>
          <w:sz w:val="14"/>
          <w:szCs w:val="14"/>
          <w:color w:val="auto"/>
        </w:rPr>
        <w:t xml:space="preserve">This prospectus includes our registered or common law trademarks, service marks and trade names, including but not limited to our design logo, Fervo Energy™, FervoFlex™, FERVO50 GEOBLOCK™, GEOCLUSTER™, GEOBLOCK™, GEOCLUSTERS™ and GEOBLOCKS™, which are protected under applicable intellectual property laws. This prospectus also contains trademarks, trade names, and service marks of other companies, which are the property of their respective owners. We do not intend our use or display of other parties’ trademarks, service marks or trade names to imply, and such use or display should not be construed to imply, a relationship with, or endorsement or sponsorship of us by, these other parties. Solely for convenience, trademarks, service marks and trade names referred to in this prospectus may appear without the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 or </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permitted under applicable law, our rights or the right of the applicable licensor to these trademarks, service marks and trade names.</w:t>
      </w:r>
    </w:p>
    <w:p>
      <w:pPr>
        <w:sectPr>
          <w:pgSz w:w="11900" w:h="16838" w:orient="portrait"/>
          <w:cols w:equalWidth="0" w:num="1">
            <w:col w:w="9019"/>
          </w:cols>
          <w:pgMar w:left="1440" w:top="179" w:right="1440" w:bottom="1440" w:gutter="0" w:footer="0" w:header="0"/>
        </w:sectPr>
      </w:pPr>
    </w:p>
    <w:p>
      <w:pPr>
        <w:spacing w:after="0" w:line="108" w:lineRule="exact"/>
        <w:rPr>
          <w:sz w:val="20"/>
          <w:szCs w:val="20"/>
          <w:color w:val="auto"/>
        </w:rPr>
      </w:pPr>
    </w:p>
    <w:p>
      <w:pPr>
        <w:ind w:left="1160" w:firstLine="258"/>
        <w:spacing w:after="0" w:line="292" w:lineRule="auto"/>
        <w:rPr>
          <w:sz w:val="20"/>
          <w:szCs w:val="20"/>
          <w:color w:val="auto"/>
        </w:rPr>
      </w:pPr>
      <w:r>
        <w:rPr>
          <w:rFonts w:ascii="Times New Roman" w:cs="Times New Roman" w:eastAsia="Times New Roman" w:hAnsi="Times New Roman"/>
          <w:sz w:val="14"/>
          <w:szCs w:val="14"/>
          <w:color w:val="auto"/>
        </w:rPr>
        <w:t>Our audited consolidated financial statements as of and for the years ended included in this prospectus have been prepared in accordance with GAAP.</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w:t>
      </w:r>
    </w:p>
    <w:p>
      <w:pPr>
        <w:sectPr>
          <w:pgSz w:w="11900" w:h="16838" w:orient="portrait"/>
          <w:cols w:equalWidth="0" w:num="2">
            <w:col w:w="5820" w:space="240"/>
            <w:col w:w="2959"/>
          </w:cols>
          <w:pgMar w:left="1440" w:top="179" w:right="1440"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LETTER FROM TIM LATIMER, CHIEF EXECUTIVE OFFICER</w:t>
      </w:r>
    </w:p>
    <w:p>
      <w:pPr>
        <w:spacing w:after="0" w:line="142"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American economic prosperity has always depended on affordable, reliable energy. And as the U.S. confronts a global AI race, and increasing geopolitical and environmental uncertainty, this fundamental truth will only deepen. There is no AI revolution without power for data centers. There is no industrial renaissance without power for manufacturing facilities and military bases. There is no future where we address the emissions causing climate change without power for mass electrification.</w:t>
      </w:r>
    </w:p>
    <w:p>
      <w:pPr>
        <w:spacing w:after="0" w:line="99"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But energy abundance is not guaranteed. In the 1970s, a prolonged energy crisis stifled American growth. Fuel rations became commonplace, and across U.S. cities, lines at gas stations stretched for miles as drivers clamored for fuel.</w:t>
      </w:r>
    </w:p>
    <w:p>
      <w:pPr>
        <w:spacing w:after="0" w:line="9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This crisis eventually gave rise to the Shale Revolution. Unwilling to accept stagnant domestic oil production, policymakers, companies, and investors pushed for unconventional fossil fuel extraction. Horizontal drilling and hydraulic fracturing offered an answer. And with continuous engineering improvements enabled by learning curves and economies of scale, developers unlocked oil and gas in previously inaccessible locations. By the early-2010s, horizontal drilling and hydraulic fracturing had transformed the global energy landscape by providing a new way to access affordable energy.</w:t>
      </w:r>
    </w:p>
    <w:p>
      <w:pPr>
        <w:spacing w:after="0" w:line="10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U.S. now faces a new energy crisis, a crisis driven by breakneck AI advancements, competition with China, and climate instability. And though this crisis is novel, the technology needed to solve it is not.</w:t>
      </w:r>
    </w:p>
    <w:p>
      <w:pPr>
        <w:spacing w:after="0" w:line="81"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EGS approach we have pioneered on the back of over a decade of learnings from the Shale Revolution is now sparking a revolution in clean, around-the-clock geothermal power. Fervo launched in 2017 with a simple thesis: the same tools and engineering undergirding shale can make geothermal a scalable, cost-competitive clean energy solution capable of addressing dramatic load growth. Unlike shale, which depletes hydrocarbons, EGS leverages a heat reservoir for steady, renewable output. And while shale playbooks front-load production with depletion and declines thereafter, EGS enables long-term, steady electricity generation.</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To date, this thesis has proven correct. Horizontal drilling and hydraulic fracturing remove geographic constraints on geothermal production, increasing capacity potential by orders of magnitude. According to Rystad, conventional geothermal currently supplies the U.S. with roughly 3.8 gigawatts of energy. By contrast, Fervo’s Cape Station site alone offers approximately 4.3 gigawatts of capacity potential, while a broader subset of our reviewed leases represents over 40 gigawatts. EGS has the potential to make geothermal generation as ubiquitous as solar generation is in the U.S. today.</w:t>
      </w:r>
    </w:p>
    <w:p>
      <w:pPr>
        <w:spacing w:after="0" w:line="101"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Rapid buildout is already underway. Fervo has 500 megawatts currently under construction and 658 megawatts of contracted offtake with tier-one partners like Southern California Edison, Google / NV Energy, and Shell, providing a clear roadmap for potential near-term growth. We have entered a new era of geothermal development.</w:t>
      </w:r>
    </w:p>
    <w:p>
      <w:pPr>
        <w:spacing w:after="0" w:line="93"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Relying on proven oil and gas technology allows for this scale. We do not need to build domestic supply chains from scratch; we can leverage existing oilfield services providers. We do not need to retrain or reskill hundreds of workers to drill our wells; we can leverage the U.S.’s robust oil and gas labor force. Our ability to provide reliable, carbon-free electricity and also tap the traditional oil and gas industry workforce has made geothermal a bipartisan solution, even as other resources become politically polarized.</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Ultimately, though, the engineering mentality behind the Shale Revolution is just as important to our success as the underlying technology. Shale transformed American energy thanks to learning curves—meaningful cost reduction over repeated operations. In conventional oil and gas, producers targeted unique and complex systems hoping for outsized returns. Shale, however, prioritized highly predictable basins spanning hundreds of square miles. Repetitive basin-wide drilling allowed for standardization and simplification, increasing per-well productivity while lowering costs.</w:t>
      </w:r>
    </w:p>
    <w:p>
      <w:pPr>
        <w:spacing w:after="0" w:line="10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This powerful combination—standardization and simplification—is critical to technology revolutions. It helped Toyota become a global automotive juggernaut, leveraging “lean manufacturing” to popularize Japanese cars. It helped SpaceX reinvigorate space travel, reducing rocket system complexity from the Raptor 1 to the Raptor 2 to the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74"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Raptor 3. It will now help Fervo provide 24/7 clean energy at the speed, scale, and cost needed to achieve an</w:t>
      </w:r>
    </w:p>
    <w:p>
      <w:pPr>
        <w:sectPr>
          <w:pgSz w:w="11900" w:h="16874" w:orient="portrait"/>
          <w:cols w:equalWidth="0" w:num="1">
            <w:col w:w="9019"/>
          </w:cols>
          <w:pgMar w:left="1440" w:top="1440" w:right="1440" w:bottom="0" w:gutter="0" w:footer="0" w:header="0"/>
          <w:type w:val="continuous"/>
        </w:sectPr>
      </w:pPr>
    </w:p>
    <w:bookmarkStart w:id="7" w:name="page8"/>
    <w:bookmarkEnd w:id="7"/>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American-led AI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6026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Fervo is working to build a different type of energy company—one that treats each geothermal power facility as a repeatable product, not a one-off, complicated project. We intend to deliver power in standardized, 50-megawatt ORC units, relentlessly reducing complexity with every well drilled and every turbine installed. With few locational constraints on our subsurface operations, we can develop sites to multi-gigawatt sites, harnessing learning curves to drive continuous improvement and make geothermal cheaper than it has ever been.</w:t>
      </w:r>
    </w:p>
    <w:p>
      <w:pPr>
        <w:spacing w:after="0" w:line="99" w:lineRule="exact"/>
        <w:rPr>
          <w:sz w:val="20"/>
          <w:szCs w:val="20"/>
          <w:color w:val="auto"/>
        </w:rPr>
      </w:pPr>
    </w:p>
    <w:p>
      <w:pPr>
        <w:ind w:left="1160" w:right="1559" w:firstLine="258"/>
        <w:spacing w:after="0" w:line="274" w:lineRule="auto"/>
        <w:rPr>
          <w:sz w:val="20"/>
          <w:szCs w:val="20"/>
          <w:color w:val="auto"/>
        </w:rPr>
      </w:pPr>
      <w:r>
        <w:rPr>
          <w:rFonts w:ascii="Times New Roman" w:cs="Times New Roman" w:eastAsia="Times New Roman" w:hAnsi="Times New Roman"/>
          <w:sz w:val="14"/>
          <w:szCs w:val="14"/>
          <w:color w:val="auto"/>
        </w:rPr>
        <w:t>Our first utility-scale deployment in the Cape Station site will provide a baseline for our core product. We expect that each power unit built thereafter will improve on this baseline by using learnings to streamline engineering design.</w:t>
      </w:r>
    </w:p>
    <w:p>
      <w:pPr>
        <w:spacing w:after="0" w:line="93"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Our commitment to continuous improvement rests on four core corporate values that have guided Fervo since our inception. First, we Build Things That Last, prioritizing health, safety, and the environment above all else. No matter how quickly we grow, we will not compromise the safety of our workers or the communities in which we operate.</w:t>
      </w:r>
    </w:p>
    <w:p>
      <w:pPr>
        <w:spacing w:after="0" w:line="97"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Second, we Do What We Say We Are Going To Do, assessing each task honestly and holding employees, and the company, accountable to transparent, quantifiable performance targets.</w:t>
      </w:r>
    </w:p>
    <w:p>
      <w:pPr>
        <w:spacing w:after="0" w:line="81"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Third, we Innovate Through Collaboration, seeking ideas from all sources and forging relationships with best-in-class partners.</w:t>
      </w:r>
    </w:p>
    <w:p>
      <w:pPr>
        <w:spacing w:after="0" w:line="8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Finally, we Stop And Smell The Roses, because a company that celebrates its wins and genuinely values the wellbeing of its people is a company positioned for lasting, sustainable growth. By keeping employees for the long term, we can realize the engineering and commercial learning curves so central to our business.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Together, these four values define Fervo’s culture.</w:t>
      </w:r>
    </w:p>
    <w:p>
      <w:pPr>
        <w:spacing w:after="0" w:line="140"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Today, miles-long lines for gasoline have been replaced by lines for electricity. Tech companies compete for megawatts to claim AI market share. Manufacturers jockey for power to strengthen American industry. Utilities demand clean, firm electricity to stabilize the grid. Fervo is prepared to serve all of these customers. Not with complex, idiosyncratic projects but with a simplified, standardized product capable of delivering around-the-clock, carbon-free power using proven oil and gas technology.</w:t>
      </w:r>
    </w:p>
    <w:p>
      <w:pPr>
        <w:spacing w:after="0" w:line="99"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American economic dynamism has long depended on reliable energy. The reliable energy of our time is next-generation geothermal.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40"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“Fervo,” the “Company,” “we,” “us,” and “our” in this prospectus refer to Fervo Energy Company and its consolidated subsidiaries.</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Mission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To transform geothermal energy into America’s most dependable and affordable source of clean, 24/7 power.</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Fervo Energy</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U.S. is in critical need of firm, reliable power. Rapid growth in data centers, the resurgence of domestic manufacturing, and accelerating electrification are driving electricity demand that outpaces new planned generation. Rystad reports that by 2035, the country is expected to face a 98-gigawatt accredited capacity shortfall, highlighting an urgent need for new, scalable sources of 24/7 power.</w:t>
      </w:r>
    </w:p>
    <w:p>
      <w:pPr>
        <w:spacing w:after="0" w:line="97"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As the pioneer of enhanced geothermal systems (“EGS”), we are commercializing a new category of firm power that is scalable, rapidly deployable, readily available, and geographically flexible. By applying proven technologies like horizontal drilling and multi-stage hydraulic fracturing, we are transforming geothermal energy from a niche resource into a utility-scale power solution that is clean, reliable, cost-competitive, and suited to the needs of hyperscalers and utilities alike.</w:t>
      </w:r>
    </w:p>
    <w:p>
      <w:pPr>
        <w:spacing w:after="0" w:line="99"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Geothermal is a highly attractive energy resource – it is clean, firm, and reliable. But traditional geothermal projects depend on rare geologic conditions like volcanic systems with highly conductive natural fracture networks, which has constrained development to places like Iceland, Kenya, California, and Hawaii. Additionally, traditional geothermal projects have carried significant development risk because wells either succeed or fail entirely with</w:t>
      </w:r>
    </w:p>
    <w:p>
      <w:pPr>
        <w:sectPr>
          <w:pgSz w:w="11900" w:h="16842" w:orient="portrait"/>
          <w:cols w:equalWidth="0" w:num="1">
            <w:col w:w="9019"/>
          </w:cols>
          <w:pgMar w:left="1440" w:top="114" w:right="1440" w:bottom="0" w:gutter="0" w:footer="0" w:header="0"/>
        </w:sectPr>
      </w:pPr>
    </w:p>
    <w:bookmarkStart w:id="8" w:name="page9"/>
    <w:bookmarkEnd w:id="8"/>
    <w:p>
      <w:pPr>
        <w:ind w:left="1160"/>
        <w:spacing w:after="0"/>
        <w:rPr>
          <w:sz w:val="20"/>
          <w:szCs w:val="20"/>
          <w:color w:val="auto"/>
        </w:rPr>
      </w:pPr>
      <w:r>
        <w:rPr>
          <w:rFonts w:ascii="Times New Roman" w:cs="Times New Roman" w:eastAsia="Times New Roman" w:hAnsi="Times New Roman"/>
          <w:sz w:val="14"/>
          <w:szCs w:val="14"/>
          <w:color w:val="auto"/>
        </w:rPr>
        <w:t>natural fracture networks. This uncertainty has made these projects unpredictable, expensive, and hard to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Our EGS technology addresses the scalability limitations and key development risks of traditional geothermal energy. By designing and controlling subsurface flow pathways, we can predictably recover heat without relying on naturally occurring permeability. Additionally, we deploy innovative subsurface monitoring technologies such as AI-enhanced fiber optic sensing that enable us to monitor and predict geothermal heat transfer at high spatial and temporal resolution. We believe these capabilities will enable us to standardize project development, optimize power facility placement and design, and capture economies of scale previously unavailable to the geothermal industry. We expect this innovative approach to position us to deliver predictable, cost-effective, and scalable geothermal power that follows learning curve cost declines, thereby providing the dependable energy needed to help close the nation’s capacity shortfall.</w:t>
      </w:r>
    </w:p>
    <w:p>
      <w:pPr>
        <w:spacing w:after="0" w:line="10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Our EGS technology has been delivering clean electrons to the grid and generating revenue since 2023 at our commercial pilot called Project Red, differentiating us from certain other energy alternatives still grappling with technology risk, long development timelines, permitting uncertainty and supply chain constraints. Expanding upon this success, we are now building Cape Station, a 500-megawatt greenfield project, where we expect to deliver first power by late 2026. Our proven technical approach and track record of execution has generated meaningful commercial traction. Across our full portfolio, we have signed 658 megawatts of binding power purchase agreements (“PPAs”) with investment-grade utility and corporate energy buyers including Southern California Edison and Shell. Beyond our current contracted backlog, we have also entered into a 3-gigawatt framework agreement with Google (the “Geothermal Framework Agreement” or “GFA”) to advance and structure potential power offtake opportunities for current and planned data centers in both grid-connected and alternative energy solutions.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Project Pipeline</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are a geothermal energy developer that builds, owns, and operates geothermal power facilities. We construct projects in phases across leased acreage positions that can support multi-gigawatt power developments (“GeoClusters”). Our leasing strategy is focused on securing high-quality, geothermal resources in prime locations, the vast majority of which have existing deep wells that confirm significantly elevated temperatures at shallow depths and near-term commercial viability. We pair detailed geologic analysis with commercial assessments, such as transmission access, market conditions, and permitting, so that each opportunity meets our development standards.</w:t>
      </w:r>
    </w:p>
    <w:p>
      <w:pPr>
        <w:spacing w:after="0" w:line="10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In June 2023, we broke ground on our first GeoCluster – Cape Station – located in Milford, Utah, which we expect will become the world’s largest EGS project in terms of total installed capacity. At Cape Station, we have 500 megawatts under construction and expect to deliver first power in late 2026, reaching approximately 100 megawatts of operating capacity by early 2027. These 500 megawatts represent only the first two phases of the Cape Station GeoCluster. We also have a permit in place to develop an incremental 1.5 gigawatts at the site, and based upon a combination of internal estimates and findings from an independent engineer assessment, estimate that we have a total of approximately 4.3 gigawatts of capacity potential at Cape Station.</w:t>
      </w:r>
    </w:p>
    <w:p>
      <w:pPr>
        <w:spacing w:after="0" w:line="10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Cape Station is expected to be the first in a large portfolio of high-capacity factor, carbon-free, baseload power GeoClusters, supporting the company’s runway for significant, near-term organic growth across our 595,900 acre land position as of December 31, 2025.</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classify our portfolio into three distinct categories: Mature, Pipeline,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 our Mature, Pipeline, and Prospects portfolio consisted of the following:</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Mature</w:t>
      </w:r>
    </w:p>
    <w:p>
      <w:pPr>
        <w:spacing w:after="0" w:line="144" w:lineRule="exact"/>
        <w:rPr>
          <w:sz w:val="20"/>
          <w:szCs w:val="20"/>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3 megawatts are currently online and generating power from our pilot project, Project Red.</w:t>
      </w:r>
    </w:p>
    <w:p>
      <w:pPr>
        <w:spacing w:after="0" w:line="139"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Construction: 500 megawatts are currently in construction at Cape Station, with commercial contracts in place and physical work underway.</w:t>
      </w:r>
    </w:p>
    <w:p>
      <w:pPr>
        <w:spacing w:after="0" w:line="80" w:lineRule="exact"/>
        <w:rPr>
          <w:rFonts w:ascii="Times New Roman" w:cs="Times New Roman" w:eastAsia="Times New Roman" w:hAnsi="Times New Roman"/>
          <w:sz w:val="14"/>
          <w:szCs w:val="14"/>
          <w:color w:val="auto"/>
        </w:rPr>
      </w:pPr>
    </w:p>
    <w:p>
      <w:pPr>
        <w:ind w:left="1660" w:right="1419" w:hanging="249"/>
        <w:spacing w:after="0" w:line="27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Ready to Build: 550 megawatts across two different GeoClusters were shovel-ready with initial permits secured to begin construction. These megawatts are backed by calibrated subsurface models, validated against well data and geophysical surveys, and have a clear wellfield development strategy in place.</w:t>
      </w:r>
    </w:p>
    <w:p>
      <w:pPr>
        <w:sectPr>
          <w:pgSz w:w="11900" w:h="16838" w:orient="portrait"/>
          <w:cols w:equalWidth="0" w:num="1">
            <w:col w:w="9019"/>
          </w:cols>
          <w:pgMar w:left="1440" w:top="94" w:right="1440" w:bottom="201"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94" w:right="1440" w:bottom="201"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679"/>
        <w:spacing w:after="0" w:line="292" w:lineRule="auto"/>
        <w:rPr>
          <w:sz w:val="20"/>
          <w:szCs w:val="20"/>
          <w:color w:val="auto"/>
        </w:rPr>
      </w:pPr>
      <w:r>
        <w:rPr>
          <w:rFonts w:ascii="Times New Roman" w:cs="Times New Roman" w:eastAsia="Times New Roman" w:hAnsi="Times New Roman"/>
          <w:sz w:val="14"/>
          <w:szCs w:val="14"/>
          <w:color w:val="auto"/>
        </w:rPr>
        <w:t>Commercially, we have secured or are in advanced negotiation for offtake and have either obtained interconnection or established a clear, achievable path.</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144" w:lineRule="exact"/>
        <w:rPr>
          <w:sz w:val="20"/>
          <w:szCs w:val="20"/>
          <w:color w:val="auto"/>
        </w:rPr>
      </w:pPr>
    </w:p>
    <w:p>
      <w:pPr>
        <w:ind w:left="1660" w:right="1219" w:hanging="249"/>
        <w:spacing w:after="0" w:line="268"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Development: 2.6 gigawatts were in advanced development. These projects have a go-to-market strategy established, with key development milestones progressing and active origination efforts underway. Typical activities include preliminary permit filings, on-site geological studies work, and submission of interconnection applications.</w:t>
      </w:r>
    </w:p>
    <w:p>
      <w:pPr>
        <w:spacing w:after="0" w:line="97" w:lineRule="exact"/>
        <w:rPr>
          <w:rFonts w:ascii="Times New Roman" w:cs="Times New Roman" w:eastAsia="Times New Roman" w:hAnsi="Times New Roman"/>
          <w:sz w:val="14"/>
          <w:szCs w:val="14"/>
          <w:color w:val="auto"/>
        </w:rPr>
      </w:pPr>
    </w:p>
    <w:p>
      <w:pPr>
        <w:ind w:left="1660" w:right="1279" w:hanging="249"/>
        <w:spacing w:after="0" w:line="27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 Development: Over 38 gigawatts were in early-stage development across ten GeoClusters where we have commissioned and received independent HIIP studies and are conducting feasibility activities to validate and confirm the path toward commercial development.</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Prospects</w:t>
      </w:r>
    </w:p>
    <w:p>
      <w:pPr>
        <w:spacing w:after="0" w:line="144" w:lineRule="exact"/>
        <w:rPr>
          <w:sz w:val="20"/>
          <w:szCs w:val="20"/>
          <w:color w:val="auto"/>
        </w:rPr>
      </w:pPr>
    </w:p>
    <w:p>
      <w:pPr>
        <w:ind w:left="1660" w:right="1299" w:hanging="249"/>
        <w:spacing w:after="0" w:line="268"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Holdings: Our remaining portfolio consists of approximately 256,000 acres of leased acreage as of December 31, 2025, with differentiated geothermal resource quality currently maintained in our portfolio. For this category, we have secured leases and identified project areas, but have not commenced initial development work.</w:t>
      </w:r>
    </w:p>
    <w:p>
      <w:pPr>
        <w:spacing w:after="0" w:line="97"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These three categories (Mature, Pipeline and Prospects) represent the expected progression of our megawatts from those in early development stages to revenue-generating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 our generation portfolio was comprised of the following:</w:t>
      </w:r>
    </w:p>
    <w:p>
      <w:pPr>
        <w:sectPr>
          <w:pgSz w:w="11900" w:h="16838" w:orient="portrait"/>
          <w:cols w:equalWidth="0" w:num="1">
            <w:col w:w="9019"/>
          </w:cols>
          <w:pgMar w:left="1440" w:top="297" w:right="1440" w:bottom="1440" w:gutter="0" w:footer="0" w:header="0"/>
        </w:sectPr>
      </w:pPr>
    </w:p>
    <w:bookmarkStart w:id="10" w:name="page11"/>
    <w:bookmarkEnd w:id="10"/>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259" w:hanging="257"/>
        <w:spacing w:after="0" w:line="267" w:lineRule="auto"/>
        <w:rPr>
          <w:sz w:val="20"/>
          <w:szCs w:val="20"/>
          <w:color w:val="auto"/>
        </w:rPr>
      </w:pPr>
      <w:r>
        <w:rPr>
          <w:rFonts w:ascii="Times New Roman" w:cs="Times New Roman" w:eastAsia="Times New Roman" w:hAnsi="Times New Roman"/>
          <w:sz w:val="11"/>
          <w:szCs w:val="11"/>
          <w:color w:val="auto"/>
        </w:rPr>
        <w:t>Note: Capacity Potential estimates are based on “Best Estimate” HIIP estimates presented in reports prepared by D&amp;M using assumptions regarding notional EGS development plans, ORC turbine efficiency, parasitic loads, and other assumed recovery factors, and are subject to change with additional data.</w:t>
      </w:r>
    </w:p>
    <w:p>
      <w:pPr>
        <w:spacing w:after="0" w:line="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Project Economics</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Our business model combines technological innovation with disciplined project development and seeks to deliver predictable returns and strong cash generation. In addition to advancing the technical boundaries of geothermal energy, we are implementing a development approach that leverages repeatability, enhanced production performance, and economies of scale. We believe relentless focus on these three areas will enable us to systematically improve the economics of geothermal power generation and increase the value of each megawatt produced across our portfolio.</w:t>
      </w:r>
    </w:p>
    <w:p>
      <w:pPr>
        <w:spacing w:after="0" w:line="97" w:lineRule="exact"/>
        <w:rPr>
          <w:sz w:val="20"/>
          <w:szCs w:val="20"/>
          <w:color w:val="auto"/>
        </w:rPr>
      </w:pPr>
    </w:p>
    <w:p>
      <w:pPr>
        <w:ind w:left="1660" w:right="1199" w:hanging="249"/>
        <w:spacing w:after="0" w:line="262"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Repeatability – </w:t>
      </w:r>
      <w:r>
        <w:rPr>
          <w:rFonts w:ascii="Times New Roman" w:cs="Times New Roman" w:eastAsia="Times New Roman" w:hAnsi="Times New Roman"/>
          <w:sz w:val="14"/>
          <w:szCs w:val="14"/>
          <w:color w:val="auto"/>
        </w:rPr>
        <w:t>Freed from the constraints of conventional geothermal systems, our approach emphasizes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standardization and repetition in order to capture and integrate geological, technical, and experiential learnings to meaningfully reduce costs. Since 2022, the company has demonstrated a steep drilling learning curve, reducing drilling times by approximately 75% from 2022 to 2025 and lowering per-foot drilling costs by approximately 70% over the same period. We employ advanced data analytics and proprietary AI-based modeling to better predict operational conditions and accelerate design optimization, drawing on more than 500 terabytes of high-fidelity operational data collected to date. To extend these efficiencies from the wellfield to the surface facilities, we plan to deploy standardized 50-megawatt ORC power plants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179"/>
        <w:spacing w:after="0" w:line="174" w:lineRule="exact"/>
        <w:rPr>
          <w:sz w:val="20"/>
          <w:szCs w:val="20"/>
          <w:color w:val="auto"/>
        </w:rPr>
      </w:pPr>
      <w:r>
        <w:rPr>
          <w:rFonts w:ascii="Times New Roman" w:cs="Times New Roman" w:eastAsia="Times New Roman" w:hAnsi="Times New Roman"/>
          <w:sz w:val="14"/>
          <w:szCs w:val="14"/>
          <w:color w:val="auto"/>
        </w:rPr>
        <w:t>that we call GeoBlocks—which aggregated together form GeoClusters— that we expect will yield power projects that are modular and reliable. By modularizing capacity into standardized 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megawatt GeoBlocks and scaling them in GeoClusters, we believe we can create a repeatable, bolt-on development model that compounds learning across projects, shortens delivery timelines, and enables predictable, utility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scale expansion. The chart below illustrates the impact of learning curves on our business over time, demonstrating the decrease in cost per foot and days spent drilling to total depth per well across our Project Red and initial Cape Station subsurface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Fervo Data</w:t>
      </w:r>
    </w:p>
    <w:p>
      <w:pPr>
        <w:spacing w:after="0" w:line="134" w:lineRule="exact"/>
        <w:rPr>
          <w:sz w:val="20"/>
          <w:szCs w:val="20"/>
          <w:color w:val="auto"/>
        </w:rPr>
      </w:pPr>
    </w:p>
    <w:p>
      <w:pPr>
        <w:ind w:left="1160" w:right="1179" w:firstLine="258"/>
        <w:spacing w:after="0" w:line="178" w:lineRule="exact"/>
        <w:rPr>
          <w:sz w:val="20"/>
          <w:szCs w:val="20"/>
          <w:color w:val="auto"/>
        </w:rPr>
      </w:pPr>
      <w:r>
        <w:rPr>
          <w:rFonts w:ascii="Times New Roman" w:cs="Times New Roman" w:eastAsia="Times New Roman" w:hAnsi="Times New Roman"/>
          <w:sz w:val="14"/>
          <w:szCs w:val="14"/>
          <w:color w:val="auto"/>
        </w:rPr>
        <w:t>For our two Project Red wells, total vertical depths were approximately 7,500 feet and total measured depths were approximately 11,000 feet, with a horizontal section of approximately 3,000 feet. For our Cape Station Phase I subsurface construction, we increased the total vertical depths to approximately 9,000 feet and total measured depths to approximately 14,000 feet, with a horizontal section of approximately 5,000 feet. We plan to drill approximately 8–10 wells per standardized GeoBlock. Planned well depths will vary and will be refined based on site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geology and geography, including subsurface thermal gradient, stress conditions, and structural or tectonic setting pertinent to EGS, to intersect target heat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formations at the depths required for effective reservoir creation.</w:t>
      </w:r>
    </w:p>
    <w:p>
      <w:pPr>
        <w:spacing w:after="0" w:line="88" w:lineRule="exact"/>
        <w:rPr>
          <w:sz w:val="20"/>
          <w:szCs w:val="20"/>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Enhanced Production Performance  </w:t>
      </w:r>
      <w:r>
        <w:rPr>
          <w:rFonts w:ascii="Times New Roman" w:cs="Times New Roman" w:eastAsia="Times New Roman" w:hAnsi="Times New Roman"/>
          <w:sz w:val="14"/>
          <w:szCs w:val="14"/>
          <w:color w:val="auto"/>
        </w:rPr>
        <w:t>– We seek to continue to increase output and efficiency through</w:t>
      </w:r>
    </w:p>
    <w:p>
      <w:pPr>
        <w:spacing w:after="0" w:line="29" w:lineRule="exact"/>
        <w:rPr>
          <w:sz w:val="20"/>
          <w:szCs w:val="20"/>
          <w:color w:val="auto"/>
        </w:rPr>
      </w:pPr>
    </w:p>
    <w:p>
      <w:pPr>
        <w:ind w:left="1660" w:right="1259"/>
        <w:spacing w:after="0" w:line="256" w:lineRule="auto"/>
        <w:rPr>
          <w:sz w:val="20"/>
          <w:szCs w:val="20"/>
          <w:color w:val="auto"/>
        </w:rPr>
      </w:pPr>
      <w:r>
        <w:rPr>
          <w:rFonts w:ascii="Times New Roman" w:cs="Times New Roman" w:eastAsia="Times New Roman" w:hAnsi="Times New Roman"/>
          <w:sz w:val="14"/>
          <w:szCs w:val="14"/>
          <w:color w:val="auto"/>
        </w:rPr>
        <w:t>improvements in well design, reservoir engineering, and surface facility optimization. We have already deployed progressively longer lateral wells and have targeted progressively higher temperature formations</w:t>
      </w:r>
    </w:p>
    <w:tbl>
      <w:tblPr>
        <w:tblLayout w:type="fixed"/>
        <w:tblInd w:w="1660" w:type="dxa"/>
        <w:tblCellMar>
          <w:top w:w="0" w:type="dxa"/>
          <w:left w:w="0" w:type="dxa"/>
          <w:bottom w:w="0" w:type="dxa"/>
          <w:right w:w="0" w:type="dxa"/>
        </w:tblCellMar>
      </w:tblPr>
      <w:tr>
        <w:trPr>
          <w:trHeight w:val="158"/>
        </w:trPr>
        <w:tc>
          <w:tcPr>
            <w:tcW w:w="5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 enhance heat recovery from each well and improve power conversion efficiency.</w:t>
            </w:r>
          </w:p>
        </w:tc>
        <w:tc>
          <w:tcPr>
            <w:tcW w:w="120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color w:val="auto"/>
              </w:rPr>
              <w:t>For example, our</w:t>
            </w:r>
          </w:p>
        </w:tc>
      </w:tr>
      <w:tr>
        <w:trPr>
          <w:trHeight w:val="17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Red wells have maximum lateral lengths of approximately 3,000 feet and target formation</w:t>
            </w:r>
          </w:p>
        </w:tc>
      </w:tr>
      <w:tr>
        <w:trPr>
          <w:trHeight w:val="17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temperatures of approximately 350°F, whereas the Cape Station Phase I wells have maximum lateral</w:t>
            </w:r>
          </w:p>
        </w:tc>
      </w:tr>
      <w:tr>
        <w:trPr>
          <w:trHeight w:val="17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lengths of approximately 5,000 feet and target higher formation temperatures of approximately 400°F.</w:t>
            </w:r>
          </w:p>
        </w:tc>
      </w:tr>
      <w:tr>
        <w:trPr>
          <w:trHeight w:val="17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These design choices reflect our progression toward longer laterals and hotter reservoirs in successive</w:t>
            </w:r>
          </w:p>
        </w:tc>
      </w:tr>
      <w:tr>
        <w:trPr>
          <w:trHeight w:val="18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phases, with Cape Station Phase I representing a step-change relative to Project Red.</w:t>
            </w:r>
          </w:p>
        </w:tc>
        <w:tc>
          <w:tcPr>
            <w:tcW w:w="120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8"/>
              </w:rPr>
              <w:t>Proprietary</w:t>
            </w:r>
          </w:p>
        </w:tc>
      </w:tr>
    </w:tbl>
    <w:p>
      <w:pPr>
        <w:ind w:left="1660" w:right="1499"/>
        <w:spacing w:after="0" w:line="264" w:lineRule="auto"/>
        <w:rPr>
          <w:sz w:val="20"/>
          <w:szCs w:val="20"/>
          <w:color w:val="auto"/>
        </w:rPr>
      </w:pPr>
      <w:r>
        <w:rPr>
          <w:rFonts w:ascii="Times New Roman" w:cs="Times New Roman" w:eastAsia="Times New Roman" w:hAnsi="Times New Roman"/>
          <w:sz w:val="14"/>
          <w:szCs w:val="14"/>
          <w:color w:val="auto"/>
        </w:rPr>
        <w:t>stimulation techniques and real-time monitoring allow us to optimize flow distribution and thermal recovery. We continuously refine our approaches to drilling, completions, and facility configuration to deliver incremental performance gains with each successive phase of each project.</w:t>
      </w:r>
    </w:p>
    <w:p>
      <w:pPr>
        <w:sectPr>
          <w:pgSz w:w="11900" w:h="16838" w:orient="portrait"/>
          <w:cols w:equalWidth="0" w:num="1">
            <w:col w:w="9019"/>
          </w:cols>
          <w:pgMar w:left="1440" w:top="1440" w:right="1440" w:bottom="0" w:gutter="0" w:footer="0" w:header="0"/>
        </w:sectPr>
      </w:pPr>
    </w:p>
    <w:bookmarkStart w:id="11" w:name="page12"/>
    <w:bookmarkEnd w:id="11"/>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60" w:right="1199" w:hanging="249"/>
        <w:spacing w:after="0" w:line="264"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Economies of Scale </w:t>
      </w:r>
      <w:r>
        <w:rPr>
          <w:rFonts w:ascii="Times New Roman" w:cs="Times New Roman" w:eastAsia="Times New Roman" w:hAnsi="Times New Roman"/>
          <w:sz w:val="14"/>
          <w:szCs w:val="14"/>
          <w:color w:val="auto"/>
        </w:rPr>
        <w:t>– Our GeoCluster-focused approach supports the development of shared infrastructure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streamlined supply chains. By replicating uniform GeoBlocks across multiple sites, the company achieves procurement leverage, lowering capital intensity and increasing the predictability of long-lead time equipment supply. We expect multi-gigawatt GeoClusters will allow us to capture scale efficiencies across engineering, construction, manufacturing, workforce, and operations, further enhancing project returns and improving overall company economics.</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Together, we believe these capabilities create a compounding advantage across our portfolio. We expect that repeatability, enhanced production performance, and economies of scale will contribute to lower capital intensity and higher margins on a per-megawatt basis and enhance project-level cash generation. As additional GeoBlocks are deployed across GeoClusters, we expect continued reductions in cost per megawatt and improvements in return on invested capital, reinforcing the company’s ability to deliver sustained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Midpoint for geothermal capacity factor, Rystad Energy.</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Opportunity</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Driven by surging load from AI and data centers and accelerating electrification across transportation, buildings, and industry, the U.S. power market is approaching a decisive inflection point as electricity demand outpaces new planned generation. At the same time, Rystad notes that roughly 66 gigawatts of aging accredited capacity are expected to retire by 2035, which is projected to lead to a nationwide accredited capacity shortfall of approximately 98 gigawatts by 2035. Underlying this accredited capacity shortfall is the disproportionate retirement of baseload power sources, namely coal, which comprises 80% of net power retirement through 2035. To close the projected capacity shortfall, the market will require substantial incremental firm generation.</w:t>
      </w:r>
    </w:p>
    <w:p>
      <w:pPr>
        <w:spacing w:after="0" w:line="101"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 firm energy resource, like geothermal, natural gas, nuclear or coal, can reliably deliver electricity at consistent levels for long durations and typically has a capacity factor above 75%. Because of its reliable nature, firm power is critical for the inflexible demand profiles of data centers, as well as industrial and commercial consumers. However, market participants expect the projected shortfall in firm power generation to be increasingly plugged by intermittent renewables (wind, solar, often paired with batteries to extend availability); Rystad predicts that renewables could comprise 32% of all U.S. power generation by 2035. Meanwhile, rising peak demand, in conjunction with planned firm power retirements, is driving down reserve margins across the U.S., making additional firm capacity critical.</w:t>
      </w:r>
    </w:p>
    <w:p>
      <w:pPr>
        <w:spacing w:after="0" w:line="101" w:lineRule="exact"/>
        <w:rPr>
          <w:sz w:val="20"/>
          <w:szCs w:val="20"/>
          <w:color w:val="auto"/>
        </w:rPr>
      </w:pPr>
    </w:p>
    <w:p>
      <w:pPr>
        <w:jc w:val="both"/>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This mismatch in supply and demand has manifested itself in progressively higher PPA prices for firm energy resources. Rystad reports that clean, firm energy sources, like EGS, can command pricing in the range of $100-130 per megawatt-hour.</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According to Rystad, if EGS were to meet the emerging accredited capacity gap in the U.S. alone, the annual addressable market would be approximately $70.0 billion by 2035. Assuming a 30-year asset life, this represents a $2.1 trillion revenue potential opportunity.</w:t>
      </w:r>
    </w:p>
    <w:p>
      <w:pPr>
        <w:spacing w:after="0" w:line="93"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We believe we are well positioned to meet this moment. Our EGS technology is proven and scalable. Our modular engineering approach supports rapid deployment. Our commercial pipeline is advanced, our wellfield supply chain and labor force are mature, and our intellectual property is broad, while our acreage holdings contain approximately 595,900 acres of geothermal leases that provide significant room for expansion. These advantages position us to become one of the largest providers of scalable, carbon-free baseload power over the next decade.</w:t>
      </w:r>
    </w:p>
    <w:p>
      <w:pPr>
        <w:spacing w:after="0" w:line="99"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following factors highlight the structural demand-supply imbalance in U.S. power markets and underscore why we believe that scalable, firm, carbon-free solutions like EGS are positioned to capture outsized value in the decade ahead.</w:t>
      </w:r>
    </w:p>
    <w:p>
      <w:pPr>
        <w:spacing w:after="0" w:line="89" w:lineRule="exact"/>
        <w:rPr>
          <w:sz w:val="20"/>
          <w:szCs w:val="20"/>
          <w:color w:val="auto"/>
        </w:rPr>
      </w:pPr>
    </w:p>
    <w:p>
      <w:pPr>
        <w:ind w:left="1660" w:right="1279" w:hanging="249"/>
        <w:spacing w:after="0" w:line="277"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All-Time High Power Demand </w:t>
      </w:r>
      <w:r>
        <w:rPr>
          <w:rFonts w:ascii="Times New Roman" w:cs="Times New Roman" w:eastAsia="Times New Roman" w:hAnsi="Times New Roman"/>
          <w:sz w:val="14"/>
          <w:szCs w:val="14"/>
          <w:color w:val="auto"/>
        </w:rPr>
        <w:t>– After two decades of relatively stable load growth between 2000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2020, energy demand is rising steeply and rapidly driven by the artificial intelligence (“AI”) boom, renewed onshoring of manufacturing and economy-wide electrification. The chart below demonstrates the</w:t>
      </w:r>
    </w:p>
    <w:p>
      <w:pPr>
        <w:sectPr>
          <w:pgSz w:w="11900" w:h="16902" w:orient="portrait"/>
          <w:cols w:equalWidth="0" w:num="1">
            <w:col w:w="9019"/>
          </w:cols>
          <w:pgMar w:left="1440" w:top="533" w:right="1440" w:bottom="0" w:gutter="0" w:footer="0" w:header="0"/>
        </w:sectPr>
      </w:pPr>
    </w:p>
    <w:bookmarkStart w:id="12" w:name="page13"/>
    <w:bookmarkEnd w:id="12"/>
    <w:p>
      <w:pPr>
        <w:ind w:left="1660"/>
        <w:spacing w:after="0"/>
        <w:rPr>
          <w:sz w:val="20"/>
          <w:szCs w:val="20"/>
          <w:color w:val="auto"/>
        </w:rPr>
      </w:pPr>
      <w:r>
        <w:rPr>
          <w:rFonts w:ascii="Times New Roman" w:cs="Times New Roman" w:eastAsia="Times New Roman" w:hAnsi="Times New Roman"/>
          <w:sz w:val="14"/>
          <w:szCs w:val="14"/>
          <w:color w:val="auto"/>
        </w:rPr>
        <w:t>accelerating pace of load growth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Rystad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60" w:right="1159" w:hanging="249"/>
        <w:spacing w:after="0" w:line="26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Deficient Supply Alternatives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The U.S. energy system is facing a severe supply constraint caused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insufficient new capacity additions and aging infrastructure. Existing power supply alternatives face various limitations in this time of great need. Variable renewable energy resources (“VREs”) like solar and wind have expanded rapidly but can only meet certain hours of demand, even when coupled with battery storage. Firm energy resources like natural gas face supply chain bottlenecks and volatile fuel pricing. Nuclear power remains a critical firm energy resource, but new large-scale projects are battling high costs and long development timelines. The charts below demonstrate the lack of baseload power expected to be added to the U.S. energy system, and the particular impact on the Western U.S., our current area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Rystad Energy.</w:t>
      </w:r>
    </w:p>
    <w:p>
      <w:pPr>
        <w:spacing w:after="0" w:line="1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Innovative Solution</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have successfully applied proven technological innovations from the American oil and gas industry to kickstart what we expect to be another great American industry: next-generation geothermal. Across every layer of our technology stack, we endeavor to target and systematically eliminate key constraints to traditional geothermal development to make geothermal energy the most dependable and affordable source of power in America.</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Conventional geothermal developers cede control of their projects to the whims of subsurface geology, relying on natural fracture networks in hot rock to access heat for power generation. This approach restricts development to a select few locations with adequate subsurface conditions, introduces binary dry hole risk given the unpredictability of natural fractures, and imposes a fixed upper bound on reservoir-wide power output. Constrained by the resource size available in natural fractures, conventional geothermal developers have historically been unable to drill new wells to make up additional capacity if projects underperform, adding additional tail risk after the project is built.</w:t>
      </w:r>
    </w:p>
    <w:p>
      <w:pPr>
        <w:sectPr>
          <w:pgSz w:w="11900" w:h="16838" w:orient="portrait"/>
          <w:cols w:equalWidth="0" w:num="1">
            <w:col w:w="9019"/>
          </w:cols>
          <w:pgMar w:left="1440" w:top="94" w:right="1440" w:bottom="0" w:gutter="0" w:footer="0" w:header="0"/>
        </w:sectPr>
      </w:pPr>
    </w:p>
    <w:bookmarkStart w:id="13" w:name="page14"/>
    <w:bookmarkEnd w:id="13"/>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Rather than accept the variability of drilling vertical wells into a natural fracture network, we use proven technology from the oil and gas industry to build a tightly controlled system for heat extraction in low-permeability geothermal formations. We engineer these reservoirs by drilling sets of parallel horizontal injection and production wells through hot rock, accessing a zone of the geothermal reservoir with a highly predictable volume of heat in place. We then use multistage hydraulic fracturing to connect the wells, establishing pathways and sufficient surface area in the rock through which water can flow, heat up, and return to the surface for power generation. We also install AI-enhanced fiber optic sensing cables to measure reservoir conditions in real-time. This data is then used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174" w:lineRule="exact"/>
        <w:rPr>
          <w:sz w:val="20"/>
          <w:szCs w:val="20"/>
          <w:color w:val="auto"/>
        </w:rPr>
      </w:pPr>
      <w:r>
        <w:rPr>
          <w:rFonts w:ascii="Times New Roman" w:cs="Times New Roman" w:eastAsia="Times New Roman" w:hAnsi="Times New Roman"/>
          <w:sz w:val="14"/>
          <w:szCs w:val="14"/>
          <w:color w:val="auto"/>
        </w:rPr>
        <w:t>continuously monitor flow rates, pressures, and temperatures across the wellfield, allowing us to predict and optimize future well output. Our proprietary, data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assimilative models integrate continuous temperature and pressure profiles to update reservoir state in real time, enabling more accurate production forecasts and proactive decisions to sustain deliverability and recoverable heat. Our approach allows us to actively manage long-term reservoir performance; if production falls off in any part of the field, we are able to drill infill wells or simply drill new wells to mine additional heat and extend overall reservoir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Instead of creating separate one-off vertical wells (each with a separate well pad) across a field, we can access vast quantities of subsurface heat by drilling many horizontal wells from a single pad with a compact footprint, dramatically reducing land disturbance. This approach replicates the successful wellfield design used in the shale oil and gas revolution. However, unlike in shale, where operators typically target specific and sometimes narrow payzones, we can access progressively hotter rock the deeper we drill. Our reservoir is only bounded by temperature, with the minimum temperature established by power plant efficiency and the maximum temperature established by the temperature limits of subsurface equipment. At present, we apply a minimum reservoir temperature of approximately 300°F and a maximum reservoir temperature of approximately 625°F, and we utilize a cutoff vertical depth of about 13,000 feet to define resources we consider technically and commercially viable. These parameters may evolve over time with improvements in drilling and subsurface technology or changes in market conditions (for example, higher PPA pricing can support lower temperatures or deeper drilling). As a result, our payzones already extend thousands of feet in thickness, and we expect these will continue to grow over time as better drilling technology is developed.</w:t>
      </w:r>
    </w:p>
    <w:p>
      <w:pPr>
        <w:spacing w:after="0" w:line="2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Wellfield Production</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Data observed from our projects to date has validated our approach. In 2023, we brought our pilot, Project Red, online. The project quickly demonstrated record 24/7 carbon-free power production, generating three megawatts of gross power production to the Nevada grid and proving the commercial viability of our innovative drilling technology. Additionally, at our Project Red commercial pilot, we have observed consistent, stable temperature output in line with our modeling and expectations. To date, Project Red has not experienced the kind of premature thermal decline that has long plagued traditional geothermal projects.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We apply advanced data analytics, computational modeling, and data-driven empirical modeling to generate high-fidelity production forecasts to optimize the economics of our projects. After pioneering the installation of permanent AI-enhanced fiber optics in geothermal wells, we have collected over 500 terabytes of downhole data that have been analyzed and used to improve well spacing, completion design, and wellfield optimization. With every well drilled, casing string installed, and flow test completed, we deepen our knowledge of EGS reservoirs and extend our first-mover advantage.</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Scalable Deployment</w:t>
      </w:r>
    </w:p>
    <w:p>
      <w:pPr>
        <w:sectPr>
          <w:pgSz w:w="11900" w:h="16838" w:orient="portrait"/>
          <w:cols w:equalWidth="0" w:num="1">
            <w:col w:w="9019"/>
          </w:cols>
          <w:pgMar w:left="1440" w:top="168" w:right="1440" w:bottom="0" w:gutter="0" w:footer="0" w:header="0"/>
        </w:sectPr>
      </w:pPr>
    </w:p>
    <w:bookmarkStart w:id="14" w:name="page15"/>
    <w:bookmarkEnd w:id="14"/>
    <w:p>
      <w:pPr>
        <w:spacing w:after="0" w:line="5" w:lineRule="exact"/>
        <w:rPr>
          <w:sz w:val="20"/>
          <w:szCs w:val="20"/>
          <w:color w:val="auto"/>
        </w:rPr>
      </w:pPr>
    </w:p>
    <w:p>
      <w:pPr>
        <w:ind w:left="1160" w:right="1339" w:firstLine="258"/>
        <w:spacing w:after="0" w:line="217" w:lineRule="auto"/>
        <w:rPr>
          <w:sz w:val="20"/>
          <w:szCs w:val="20"/>
          <w:color w:val="auto"/>
        </w:rPr>
      </w:pPr>
      <w:r>
        <w:rPr>
          <w:rFonts w:ascii="Times New Roman" w:cs="Times New Roman" w:eastAsia="Times New Roman" w:hAnsi="Times New Roman"/>
          <w:sz w:val="14"/>
          <w:szCs w:val="14"/>
          <w:color w:val="auto"/>
        </w:rPr>
        <w:t>Our approach is designed specifically with scale in mind. With geothermal heat recovery substantially de-risked, we can leverage a modular, standardized approach to on-surface power generation to drive cost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-154940</wp:posOffset>
            </wp:positionV>
            <wp:extent cx="716026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79"/>
        <w:spacing w:after="0" w:line="259" w:lineRule="auto"/>
        <w:rPr>
          <w:sz w:val="20"/>
          <w:szCs w:val="20"/>
          <w:color w:val="auto"/>
        </w:rPr>
      </w:pPr>
      <w:r>
        <w:rPr>
          <w:rFonts w:ascii="Times New Roman" w:cs="Times New Roman" w:eastAsia="Times New Roman" w:hAnsi="Times New Roman"/>
          <w:sz w:val="14"/>
          <w:szCs w:val="14"/>
          <w:color w:val="auto"/>
        </w:rPr>
        <w:t>increase deployment speed, and leverage economies of scale and flexibility in our supply chain. We plan to deploy standardized, 50-megawatt ORC power facilities that we call GeoBlocks. Production wells send hot geothermal brine to a heat exchanger, where it transfers heat to a working fluid. After transferring heat, the cooled geothermal brine is reinjected underground to cycle through the geothermal reservoir again. In the heat exchanger, the working fluid is vaporized, ultimately spinning a turbine to create electricity. The vapor is then cooled back into a liquid using air-cooled condensers to minimize water usage.</w:t>
      </w:r>
    </w:p>
    <w:p>
      <w:pPr>
        <w:spacing w:after="0" w:line="104"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We have already secured binding contracts for 500 megawatts of ORC turbine capacity through partnerships with Baker Hughes and Turboden (a wholly-owned subsidiary of Mitsubishi) for our projects under construction, and have further expanded this supply through a 1.7 gigawatt ORC turbine framework agreement with Turboden. These manufacturers have longstanding ORC business units that stand apart from natural gas turbines, helping support near-term ORC supply even as gas turbines remain backlogged.</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GeoBlocks are engineered for rapid scalability. When aggregated, multiple GeoBlocks make up a GeoCluster, which we define as a multi-gigawatt geothermal power hub designed to provide substantial generation while streamlining construction and operations. With approximately 595,900 acres of geothermal leases across the United States as of December 31, 2025, we are primed to implement several GeoCluster power hubs in the next decade with the potential to support more than one power market. A majority of our leases have a 10-year initial term, and in most cases, extension options.</w:t>
      </w:r>
    </w:p>
    <w:p>
      <w:pPr>
        <w:spacing w:after="0" w:line="10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To date, all of our commercial contracts feed electrons to the power grid. But by deploying multi-gigawatt GeoClusters, we can mitigate transmission risk associated with our projects. First, the size and capacity factor of our projects are catalyzing partnerships with transmission developers who seek project certainty and high line utilization. We are also pursuing behind-the-meter partnerships with hyperscalers who seek large generation and high uptime. We believe that our GeoCluster approach for AI data center development pairs a repeatable, flexible commercial framework with a modular, scalable power solution aligned with hyperscale customer demand and supports definitive offtake agreements over time. Ultimately, we can blend behind-the-meter and transmission solutions, maximizing resilience and redundancy at a single site.</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customers have the following profile:</w:t>
      </w:r>
    </w:p>
    <w:p>
      <w:pPr>
        <w:spacing w:after="0" w:line="136" w:lineRule="exact"/>
        <w:rPr>
          <w:sz w:val="20"/>
          <w:szCs w:val="20"/>
          <w:color w:val="auto"/>
        </w:rPr>
      </w:pPr>
    </w:p>
    <w:p>
      <w:pPr>
        <w:ind w:left="1660" w:right="1299" w:hanging="249"/>
        <w:spacing w:after="0" w:line="270"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want reliability. </w:t>
      </w:r>
      <w:r>
        <w:rPr>
          <w:rFonts w:ascii="Times New Roman" w:cs="Times New Roman" w:eastAsia="Times New Roman" w:hAnsi="Times New Roman"/>
          <w:sz w:val="14"/>
          <w:szCs w:val="14"/>
          <w:color w:val="auto"/>
        </w:rPr>
        <w:t>Utilities cannot replace baseload coal and nuclear plants with solely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intermittent resources such as wind and solar power. To ensure a safe, functional and reliable grid capable of addressing demand peaks, utilities must procure a new generation of baseload options. Likewise, hyperscalers demand reliability to maximize uptime for their AI models.</w:t>
      </w:r>
    </w:p>
    <w:p>
      <w:pPr>
        <w:spacing w:after="0" w:line="91" w:lineRule="exact"/>
        <w:rPr>
          <w:rFonts w:ascii="Times New Roman" w:cs="Times New Roman" w:eastAsia="Times New Roman" w:hAnsi="Times New Roman"/>
          <w:sz w:val="14"/>
          <w:szCs w:val="14"/>
          <w:color w:val="auto"/>
        </w:rPr>
      </w:pPr>
    </w:p>
    <w:p>
      <w:pPr>
        <w:ind w:left="1660" w:right="1199" w:hanging="249"/>
        <w:spacing w:after="0" w:line="26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seek a near-term solution. </w:t>
      </w:r>
      <w:r>
        <w:rPr>
          <w:rFonts w:ascii="Times New Roman" w:cs="Times New Roman" w:eastAsia="Times New Roman" w:hAnsi="Times New Roman"/>
          <w:sz w:val="14"/>
          <w:szCs w:val="14"/>
          <w:color w:val="auto"/>
        </w:rPr>
        <w:t>Power buyers place a premium on near-term deliverability.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race for AI dominance, hyperscalers continue to construct additional data center capacity to avoid falling behind their foreign and domestic competitors. This arms race mentality has pushed leading AI companies to go to extreme lengths to obtain more power. For example, xAI has taken the extraordinary step of purchasing a natural gas power plant overseas and shipping it to the U.S. to power a 2-gigawatt data center. Utilities, too, recognize the time-sensitivity of bringing new supply online. According to Rystad,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59"/>
        <w:spacing w:after="0" w:line="292" w:lineRule="auto"/>
        <w:rPr>
          <w:sz w:val="20"/>
          <w:szCs w:val="20"/>
          <w:color w:val="auto"/>
        </w:rPr>
      </w:pPr>
      <w:r>
        <w:rPr>
          <w:rFonts w:ascii="Times New Roman" w:cs="Times New Roman" w:eastAsia="Times New Roman" w:hAnsi="Times New Roman"/>
          <w:sz w:val="14"/>
          <w:szCs w:val="14"/>
          <w:color w:val="auto"/>
        </w:rPr>
        <w:t>many states across the western United States could face capacity shortfalls by 2031. To address this risk, utility commissions are increasingly pushing load-serving entities to procure additional reliable power.</w:t>
      </w:r>
    </w:p>
    <w:p>
      <w:pPr>
        <w:spacing w:after="0" w:line="77" w:lineRule="exact"/>
        <w:rPr>
          <w:sz w:val="20"/>
          <w:szCs w:val="20"/>
          <w:color w:val="auto"/>
        </w:rPr>
      </w:pPr>
    </w:p>
    <w:p>
      <w:pPr>
        <w:jc w:val="both"/>
        <w:ind w:left="1660" w:right="1239" w:hanging="249"/>
        <w:spacing w:after="0" w:line="277"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demand cost-competitiveness. </w:t>
      </w:r>
      <w:r>
        <w:rPr>
          <w:rFonts w:ascii="Times New Roman" w:cs="Times New Roman" w:eastAsia="Times New Roman" w:hAnsi="Times New Roman"/>
          <w:sz w:val="14"/>
          <w:szCs w:val="14"/>
          <w:color w:val="auto"/>
        </w:rPr>
        <w:t>Even as PPA prices continue to rise, buyers maintain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ceilings above which baseload power procurement remains unattractive. Especially as popular attention on electricity prices increases, utilities will have to guard against serious cost inflation to remain viable.</w:t>
      </w:r>
    </w:p>
    <w:p>
      <w:pPr>
        <w:spacing w:after="0" w:line="86" w:lineRule="exact"/>
        <w:rPr>
          <w:rFonts w:ascii="Times New Roman" w:cs="Times New Roman" w:eastAsia="Times New Roman" w:hAnsi="Times New Roman"/>
          <w:sz w:val="14"/>
          <w:szCs w:val="14"/>
          <w:color w:val="auto"/>
        </w:rPr>
      </w:pPr>
    </w:p>
    <w:p>
      <w:pPr>
        <w:ind w:left="1660" w:right="1219" w:hanging="249"/>
        <w:spacing w:after="0" w:line="270"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seek carbon-free solutions </w:t>
      </w:r>
      <w:r>
        <w:rPr>
          <w:rFonts w:ascii="Times New Roman" w:cs="Times New Roman" w:eastAsia="Times New Roman" w:hAnsi="Times New Roman"/>
          <w:sz w:val="14"/>
          <w:szCs w:val="14"/>
          <w:color w:val="auto"/>
        </w:rPr>
        <w:t>. Whether because of state-level renewable energy mandates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voluntary emissions reduction commitments, a wide variety of buyers continue to prioritize carbon-free, clean energy sources. For utilities in certain jurisdictions, political pressure has increased the urgency of clean power procurement.</w:t>
      </w:r>
    </w:p>
    <w:p>
      <w:pPr>
        <w:spacing w:after="0" w:line="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EGS technology we pioneered is very well suited to meet our customers’ power procurement needs:</w:t>
      </w:r>
    </w:p>
    <w:p>
      <w:pPr>
        <w:spacing w:after="0" w:line="136" w:lineRule="exact"/>
        <w:rPr>
          <w:sz w:val="20"/>
          <w:szCs w:val="20"/>
          <w:color w:val="auto"/>
        </w:rPr>
      </w:pPr>
    </w:p>
    <w:p>
      <w:pPr>
        <w:ind w:left="1660" w:right="1639" w:hanging="249"/>
        <w:spacing w:after="0" w:line="298"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offer reliability. </w:t>
      </w:r>
      <w:r>
        <w:rPr>
          <w:rFonts w:ascii="Times New Roman" w:cs="Times New Roman" w:eastAsia="Times New Roman" w:hAnsi="Times New Roman"/>
          <w:sz w:val="14"/>
          <w:szCs w:val="14"/>
          <w:color w:val="auto"/>
        </w:rPr>
        <w:t>EGS projects provide high-capacity-factor baseload power, with no fuel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exposure.</w:t>
      </w:r>
    </w:p>
    <w:p>
      <w:pPr>
        <w:spacing w:after="0" w:line="72" w:lineRule="exact"/>
        <w:rPr>
          <w:rFonts w:ascii="Times New Roman" w:cs="Times New Roman" w:eastAsia="Times New Roman" w:hAnsi="Times New Roman"/>
          <w:sz w:val="14"/>
          <w:szCs w:val="14"/>
          <w:color w:val="auto"/>
        </w:rPr>
      </w:pPr>
    </w:p>
    <w:p>
      <w:pPr>
        <w:ind w:left="1660" w:right="1359" w:hanging="249"/>
        <w:spacing w:after="0" w:line="270"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deliver power now. </w:t>
      </w:r>
      <w:r>
        <w:rPr>
          <w:rFonts w:ascii="Times New Roman" w:cs="Times New Roman" w:eastAsia="Times New Roman" w:hAnsi="Times New Roman"/>
          <w:sz w:val="14"/>
          <w:szCs w:val="14"/>
          <w:color w:val="auto"/>
        </w:rPr>
        <w:t>Our EGS technology is one of the few 24/7 power solutions capable of bringing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incremental generation online before 2030. We expect to begin delivering first power from our 500-megawatt Cape Station project by late 2026, and to reach approximately 100 megawatts of operating capacity by early 2027.</w:t>
      </w:r>
    </w:p>
    <w:p>
      <w:pPr>
        <w:spacing w:after="0" w:line="92" w:lineRule="exact"/>
        <w:rPr>
          <w:sz w:val="20"/>
          <w:szCs w:val="20"/>
          <w:color w:val="auto"/>
        </w:rPr>
      </w:pPr>
    </w:p>
    <w:p>
      <w:pPr>
        <w:ind w:left="1660" w:right="1279" w:hanging="239"/>
        <w:spacing w:after="0" w:line="259" w:lineRule="auto"/>
        <w:tabs>
          <w:tab w:leader="none" w:pos="16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 xml:space="preserve">We offer an economic, non-volatile alternative. </w:t>
      </w:r>
      <w:r>
        <w:rPr>
          <w:rFonts w:ascii="Times New Roman" w:cs="Times New Roman" w:eastAsia="Times New Roman" w:hAnsi="Times New Roman"/>
          <w:sz w:val="14"/>
          <w:szCs w:val="14"/>
          <w:color w:val="auto"/>
        </w:rPr>
        <w:t>At approximately $7,000/kW, our first Cape Station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already outcompetes both traditional and small modular nuclear power in overnight capital costs. Over time, our goal is to achieve scale and drive down prices such that we’re able to outcompete gas by achieving an Nth-of-a-kind project cost of $3,000/kW without fuel price exposure. Unlike conventional power producers, our “fuel” is geothermal heat. The cost of accessing it is embedded upfront in our subsurface capital expenditures and water systems, not in an ongoing commodity expense. By eliminating exposure to commodity price swings, we intend to deliver predictable, contractable pricing that reduces hedging costs and risk premiums, which we believe provides economic value that our customers will recognize and be willing to pay to secure. Beyond delivering power, we also sell multiple products, including energy, capacity, and environmental attributes. This mix supports premium pricing and stronger margins as markets increasingly value clean, 24/7 capacity and verified environmental attributes. This fundamental advantage distinguishes us from traditional power companies and underpins the long-term stability of our cost structure.</w:t>
      </w:r>
    </w:p>
    <w:p>
      <w:pPr>
        <w:spacing w:after="0" w:line="104" w:lineRule="exact"/>
        <w:rPr>
          <w:sz w:val="20"/>
          <w:szCs w:val="20"/>
          <w:color w:val="auto"/>
        </w:rPr>
      </w:pPr>
    </w:p>
    <w:p>
      <w:pPr>
        <w:ind w:left="1660" w:right="1179" w:hanging="249"/>
        <w:spacing w:after="0" w:line="270"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offer carbon-free, renewable power. </w:t>
      </w:r>
      <w:r>
        <w:rPr>
          <w:rFonts w:ascii="Times New Roman" w:cs="Times New Roman" w:eastAsia="Times New Roman" w:hAnsi="Times New Roman"/>
          <w:sz w:val="14"/>
          <w:szCs w:val="14"/>
          <w:color w:val="auto"/>
        </w:rPr>
        <w:t>According to the Department of Energy, EGS projects using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binary-cycle ORC power plants have a fraction of the emissions footprint as natural gas plants. The carbon-free nature of our product makes EGS especially attractive in states with time-sensitive, ambitious renewable portfolio standards and for corporate buyers who seek to maintain their climate goals.</w:t>
      </w:r>
    </w:p>
    <w:p>
      <w:pPr>
        <w:sectPr>
          <w:pgSz w:w="11900" w:h="16843" w:orient="portrait"/>
          <w:cols w:equalWidth="0" w:num="1">
            <w:col w:w="9019"/>
          </w:cols>
          <w:pgMar w:left="1440" w:top="94" w:right="1440" w:bottom="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These core attributes (reliability, deliverability, cost-competitiveness, and carbon-free) position our EGS technology ahead of other power options, allowing us to capitalize on high, inelastic power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Sources: Rystad Energy and management estimates.</w:t>
      </w:r>
    </w:p>
    <w:p>
      <w:pPr>
        <w:spacing w:after="0" w:line="1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38" w:lineRule="exact"/>
        <w:rPr>
          <w:sz w:val="20"/>
          <w:szCs w:val="20"/>
          <w:color w:val="auto"/>
        </w:rPr>
      </w:pPr>
    </w:p>
    <w:p>
      <w:pPr>
        <w:ind w:left="1660" w:right="1179" w:hanging="249"/>
        <w:spacing w:after="0" w:line="258"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First-Mover Advantage with Highly Advanced Development Portfolio: </w:t>
      </w:r>
      <w:r>
        <w:rPr>
          <w:rFonts w:ascii="Times New Roman" w:cs="Times New Roman" w:eastAsia="Times New Roman" w:hAnsi="Times New Roman"/>
          <w:sz w:val="14"/>
          <w:szCs w:val="14"/>
          <w:color w:val="auto"/>
        </w:rPr>
        <w:t>We are the global pioneer of EGS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We successfully drilled and stimulated the country’s first commercial EGS wells at our pilot, Project Red. With an operating pilot and two and a half years of 500 megawatts of greenfield construction underway, including over 25 wells drilled, we maintain a significant first-mover lead in the EGS space. These wells were drilled at our Cape Station project in Beaver County near Milford, Utah, and at Project Red adjacent to the Blue Mountain geothermal field near Winnemucca in Humboldt County, Nevada. As of December 31, 2025 , our projects under construction accounted for approximately 13% of all geothermal capacity under construction in the United States. By reducing subsurface risk in geothermal heat recovery, we have increased the velocity with which megawatts can move through our development pipeline. Additionally, with 595,900 leased acres as of December 31, 2025, we hold what we believe to be one of the U.S.’s largest portfolios of high-quality geothermal leases. We assembled this position at a weighted average of approximately $4 per acre during a period of minimal competition between 2019 and 2021, in sharp contrast to current U.S. Bureau of Land Management lease sales in Utah and Nevada, where</w:t>
      </w:r>
    </w:p>
    <w:p>
      <w:pPr>
        <w:spacing w:after="0" w:line="2" w:lineRule="exact"/>
        <w:rPr>
          <w:sz w:val="20"/>
          <w:szCs w:val="20"/>
          <w:color w:val="auto"/>
        </w:rPr>
      </w:pPr>
    </w:p>
    <w:p>
      <w:pPr>
        <w:ind w:left="1660" w:right="1179"/>
        <w:spacing w:after="0" w:line="259" w:lineRule="auto"/>
        <w:rPr>
          <w:sz w:val="20"/>
          <w:szCs w:val="20"/>
          <w:color w:val="auto"/>
        </w:rPr>
      </w:pPr>
      <w:r>
        <w:rPr>
          <w:rFonts w:ascii="Times New Roman" w:cs="Times New Roman" w:eastAsia="Times New Roman" w:hAnsi="Times New Roman"/>
          <w:sz w:val="14"/>
          <w:szCs w:val="14"/>
          <w:color w:val="auto"/>
        </w:rPr>
        <w:t>maximum bids reached $344 and $410 per acre, respectively, in 2025. Many of those newly auctioned parcels did not meet our standards for high-priority development and thus were outside our initial focus areas, reflecting the quality of our acreage. According to Bloomberg, certain geothermal developers in Utah and Nevada have paid hundreds of dollars per acre in 2025 for geothermal positions that failed to meet our development standards. We are thus uniquely positioned as a first mover to capitalize on surging demand for clean, firm, reliable power.</w:t>
      </w:r>
    </w:p>
    <w:p>
      <w:pPr>
        <w:spacing w:after="0" w:line="100" w:lineRule="exact"/>
        <w:rPr>
          <w:sz w:val="20"/>
          <w:szCs w:val="20"/>
          <w:color w:val="auto"/>
        </w:rPr>
      </w:pPr>
    </w:p>
    <w:p>
      <w:pPr>
        <w:ind w:left="1660" w:right="1239" w:hanging="239"/>
        <w:spacing w:after="0" w:line="266" w:lineRule="auto"/>
        <w:tabs>
          <w:tab w:leader="none" w:pos="16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 xml:space="preserve">Proven Ability to Secure Binding, Long-Term Offtake: </w:t>
      </w:r>
      <w:r>
        <w:rPr>
          <w:rFonts w:ascii="Times New Roman" w:cs="Times New Roman" w:eastAsia="Times New Roman" w:hAnsi="Times New Roman"/>
          <w:sz w:val="14"/>
          <w:szCs w:val="14"/>
          <w:color w:val="auto"/>
        </w:rPr>
        <w:t>We have executed 658 megawatts of binding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PPAs across each of our target customer verticals, including hyperscalers, major utilities (Southern California Edison), community choice aggregators (Clean Power Alliance and Desert Community Energy) and supermajor energy companies (Shell). These contracts were executed at attractive prices, representing approximately $7.2 billion in potential revenue backlog. This commercial momentum is further bolstered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by a 3-gigawatt framework agreement with Google. Though not a binding, project-specific PPA, the</w:t>
      </w:r>
    </w:p>
    <w:p>
      <w:pPr>
        <w:sectPr>
          <w:pgSz w:w="11900" w:h="16838" w:orient="portrait"/>
          <w:cols w:equalWidth="0" w:num="1">
            <w:col w:w="9019"/>
          </w:cols>
          <w:pgMar w:left="1440" w:top="1440" w:right="1440" w:bottom="0" w:gutter="0" w:footer="0" w:header="0"/>
          <w:type w:val="continuous"/>
        </w:sectPr>
      </w:pPr>
    </w:p>
    <w:bookmarkStart w:id="16" w:name="page17"/>
    <w:bookmarkEnd w:id="16"/>
    <w:p>
      <w:pPr>
        <w:ind w:left="1660" w:right="1259"/>
        <w:spacing w:after="0" w:line="201" w:lineRule="auto"/>
        <w:rPr>
          <w:sz w:val="20"/>
          <w:szCs w:val="20"/>
          <w:color w:val="auto"/>
        </w:rPr>
      </w:pPr>
      <w:r>
        <w:rPr>
          <w:rFonts w:ascii="Times New Roman" w:cs="Times New Roman" w:eastAsia="Times New Roman" w:hAnsi="Times New Roman"/>
          <w:sz w:val="14"/>
          <w:szCs w:val="14"/>
          <w:color w:val="auto"/>
        </w:rPr>
        <w:t>agreement provides a structured roadmap for future capacity expansion and establishes a repeatable model for large-scale corporate offtake.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2" w:lineRule="exact"/>
        <w:rPr>
          <w:sz w:val="20"/>
          <w:szCs w:val="20"/>
          <w:color w:val="auto"/>
        </w:rPr>
      </w:pPr>
    </w:p>
    <w:p>
      <w:pPr>
        <w:ind w:left="1660" w:right="1219" w:hanging="249"/>
        <w:spacing w:after="0" w:line="26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Modular Design Enabling Speed to Power and Economies of Scale: </w:t>
      </w:r>
      <w:r>
        <w:rPr>
          <w:rFonts w:ascii="Times New Roman" w:cs="Times New Roman" w:eastAsia="Times New Roman" w:hAnsi="Times New Roman"/>
          <w:sz w:val="14"/>
          <w:szCs w:val="14"/>
          <w:color w:val="auto"/>
        </w:rPr>
        <w:t>We intend to deploy our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50-megawatt GeoBlocks, standardized ORC power units that we anticipate will extend our learning curves from wellfield development to geothermal power plant construction. We expect to further support these learning curves by concentrating our operations in multi-gigawatt GeoClusters. Each cluster can support hundreds of EGS wells and dozens of adjacent GeoBlocks, creating unprecedented economies of scale in the geothermal industry. We believe that this approach will make our cost-competitive EGS solution increasingly attractive to high credit-quality offtakers and will assist us in catering to AI hyperscalers that require speed-to-power, gigawatt-scale energy access, and 24/7 availability.</w:t>
      </w:r>
    </w:p>
    <w:p>
      <w:pPr>
        <w:spacing w:after="0" w:line="97" w:lineRule="exact"/>
        <w:rPr>
          <w:rFonts w:ascii="Times New Roman" w:cs="Times New Roman" w:eastAsia="Times New Roman" w:hAnsi="Times New Roman"/>
          <w:sz w:val="14"/>
          <w:szCs w:val="14"/>
          <w:color w:val="auto"/>
        </w:rPr>
      </w:pPr>
    </w:p>
    <w:p>
      <w:pPr>
        <w:ind w:left="1660" w:right="1159" w:hanging="249"/>
        <w:spacing w:after="0" w:line="26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Demonstrated Access to Asset-Level Capital Enables Financial Flexibility: </w:t>
      </w:r>
      <w:r>
        <w:rPr>
          <w:rFonts w:ascii="Times New Roman" w:cs="Times New Roman" w:eastAsia="Times New Roman" w:hAnsi="Times New Roman"/>
          <w:sz w:val="14"/>
          <w:szCs w:val="14"/>
          <w:color w:val="auto"/>
        </w:rPr>
        <w:t>As of December 31, 2025,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had raised $320.6 million of project level capital, comprised of $175.0 million of project-level equity and $145.6 million of project-level debt. Subsequently, on March 6, 2026, we closed an approximately $421.4 million project finance credit facility with a syndicate of nine lenders (the “Project Granite Facility”) for the first phase of our Cape Station development. Our relationships with leading capital providers give us the flexibility to secure lower-cost, non-dilutive project-level financing, extending the runway of our corporate funds while accelerating deployment and substantially de-risking our funding strategy through diversified sources of capital.</w:t>
      </w:r>
    </w:p>
    <w:p>
      <w:pPr>
        <w:spacing w:after="0" w:line="97" w:lineRule="exact"/>
        <w:rPr>
          <w:rFonts w:ascii="Times New Roman" w:cs="Times New Roman" w:eastAsia="Times New Roman" w:hAnsi="Times New Roman"/>
          <w:sz w:val="14"/>
          <w:szCs w:val="14"/>
          <w:color w:val="auto"/>
        </w:rPr>
      </w:pPr>
    </w:p>
    <w:p>
      <w:pPr>
        <w:ind w:left="1660" w:right="1259" w:hanging="249"/>
        <w:spacing w:after="0" w:line="270"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Robust Intellectual Property Portfolio: </w:t>
      </w:r>
      <w:r>
        <w:rPr>
          <w:rFonts w:ascii="Times New Roman" w:cs="Times New Roman" w:eastAsia="Times New Roman" w:hAnsi="Times New Roman"/>
          <w:sz w:val="14"/>
          <w:szCs w:val="14"/>
          <w:color w:val="auto"/>
        </w:rPr>
        <w:t>We have a comprehensive intellectual property portfolio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includes patents and trade secrets covering many material proprietary aspects of our EGS technology. Our key patents and trade secrets deter competitors from employing critical but protected processes required to create and manage the subsurface flow of geothermal brine.</w:t>
      </w:r>
    </w:p>
    <w:p>
      <w:pPr>
        <w:sectPr>
          <w:pgSz w:w="11900" w:h="16838" w:orient="portrait"/>
          <w:cols w:equalWidth="0" w:num="1">
            <w:col w:w="9019"/>
          </w:cols>
          <w:pgMar w:left="1440" w:top="94" w:right="1440" w:bottom="0" w:gutter="0" w:footer="0" w:header="0"/>
        </w:sectPr>
      </w:pPr>
    </w:p>
    <w:p>
      <w:pPr>
        <w:spacing w:after="0" w:line="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Resilient Development Approach Leveraging Secure Supply Chain: </w:t>
      </w:r>
      <w:r>
        <w:rPr>
          <w:rFonts w:ascii="Times New Roman" w:cs="Times New Roman" w:eastAsia="Times New Roman" w:hAnsi="Times New Roman"/>
          <w:sz w:val="14"/>
          <w:szCs w:val="14"/>
          <w:color w:val="auto"/>
        </w:rPr>
        <w:t>We have proven capable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seamlessly scaling our operations through partnerships with well-established oilfield services providers such as Liberty Energy, Helmerich &amp; Payne and Vallourec. We have also developed durable partnerships with ORC turbine manufacturers from key U.S. partner nations, such as Turboden (a wholly-owned</w:t>
      </w:r>
    </w:p>
    <w:p>
      <w:pPr>
        <w:spacing w:after="0" w:line="2" w:lineRule="exact"/>
        <w:rPr>
          <w:sz w:val="20"/>
          <w:szCs w:val="20"/>
          <w:color w:val="auto"/>
        </w:rPr>
      </w:pPr>
    </w:p>
    <w:p>
      <w:pPr>
        <w:sectPr>
          <w:pgSz w:w="11900" w:h="16838" w:orient="portrait"/>
          <w:cols w:equalWidth="0" w:num="2">
            <w:col w:w="1460" w:space="200"/>
            <w:col w:w="7359"/>
          </w:cols>
          <w:pgMar w:left="1440" w:top="94" w:right="1440" w:bottom="0" w:gutter="0" w:footer="0" w:header="0"/>
          <w:type w:val="continuous"/>
        </w:sectPr>
      </w:pPr>
    </w:p>
    <w:p>
      <w:pPr>
        <w:jc w:val="both"/>
        <w:ind w:left="1660" w:right="1759"/>
        <w:spacing w:after="0" w:line="264" w:lineRule="auto"/>
        <w:rPr>
          <w:sz w:val="20"/>
          <w:szCs w:val="20"/>
          <w:color w:val="auto"/>
        </w:rPr>
      </w:pPr>
      <w:r>
        <w:rPr>
          <w:rFonts w:ascii="Times New Roman" w:cs="Times New Roman" w:eastAsia="Times New Roman" w:hAnsi="Times New Roman"/>
          <w:sz w:val="14"/>
          <w:szCs w:val="14"/>
          <w:color w:val="auto"/>
        </w:rPr>
        <w:t>subsidiary of Mitsubishi) and Baker Hughes, which remain relatively insulated from tariffs and procurement backlogs that are currently impacting natural gas turbines, along with primarily U.S. headquartered balance of plant equipment providers.</w:t>
      </w:r>
    </w:p>
    <w:p>
      <w:pPr>
        <w:spacing w:after="0" w:line="95" w:lineRule="exact"/>
        <w:rPr>
          <w:sz w:val="20"/>
          <w:szCs w:val="20"/>
          <w:color w:val="auto"/>
        </w:rPr>
      </w:pPr>
    </w:p>
    <w:p>
      <w:pPr>
        <w:ind w:left="1660" w:right="1239" w:hanging="249"/>
        <w:spacing w:after="0" w:line="270"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Founder-Led Management Team: </w:t>
      </w:r>
      <w:r>
        <w:rPr>
          <w:rFonts w:ascii="Times New Roman" w:cs="Times New Roman" w:eastAsia="Times New Roman" w:hAnsi="Times New Roman"/>
          <w:sz w:val="14"/>
          <w:szCs w:val="14"/>
          <w:color w:val="auto"/>
        </w:rPr>
        <w:t>Co-founders Tim Latimer and Dr. Jack Norbeck, along with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leadership team, have over 125 years of energy experience across companies in upstream oil and gas, oilfield services, and power and renewables, including Shell, BP, Chevron, BHP Billiton, NRG, Hess, SLB, and NOV.</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Growth Opportunities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principal growth strategies include:</w:t>
      </w:r>
    </w:p>
    <w:p>
      <w:pPr>
        <w:spacing w:after="0" w:line="136" w:lineRule="exact"/>
        <w:rPr>
          <w:sz w:val="20"/>
          <w:szCs w:val="20"/>
          <w:color w:val="auto"/>
        </w:rPr>
      </w:pPr>
    </w:p>
    <w:p>
      <w:pPr>
        <w:ind w:left="1660" w:right="1199" w:hanging="249"/>
        <w:spacing w:after="0" w:line="259"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Progress GeoCluster Development: </w:t>
      </w:r>
      <w:r>
        <w:rPr>
          <w:rFonts w:ascii="Times New Roman" w:cs="Times New Roman" w:eastAsia="Times New Roman" w:hAnsi="Times New Roman"/>
          <w:sz w:val="14"/>
          <w:szCs w:val="14"/>
          <w:color w:val="auto"/>
        </w:rPr>
        <w:t>We have one gigawatt included in our Mature projects portfolio,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500 megawatts categorized as Under Construction at our flagship GeoCluster Cape Station, with commercial contracts in place and physical work underway. Additionally, we have 550 megawatts that we categorize as Ready to Build across two different GeoClusters. These projects have already achieved key development milestones, which have substantially derisked commercialization. We also have over 40 gigawatts in our Pipeline project portfolio, with 2.6 gigawatts categorized as under Advanced Development and over 38 gigawatts under Early Development across ten GeoClusters. There are significant remaining</w:t>
      </w:r>
    </w:p>
    <w:p>
      <w:pPr>
        <w:spacing w:after="0" w:line="4" w:lineRule="exact"/>
        <w:rPr>
          <w:sz w:val="20"/>
          <w:szCs w:val="20"/>
          <w:color w:val="auto"/>
        </w:rPr>
      </w:pPr>
    </w:p>
    <w:p>
      <w:pPr>
        <w:ind w:left="1660" w:right="1239"/>
        <w:spacing w:after="0" w:line="261" w:lineRule="auto"/>
        <w:rPr>
          <w:sz w:val="20"/>
          <w:szCs w:val="20"/>
          <w:color w:val="auto"/>
        </w:rPr>
      </w:pPr>
      <w:r>
        <w:rPr>
          <w:rFonts w:ascii="Times New Roman" w:cs="Times New Roman" w:eastAsia="Times New Roman" w:hAnsi="Times New Roman"/>
          <w:sz w:val="14"/>
          <w:szCs w:val="14"/>
          <w:color w:val="auto"/>
        </w:rPr>
        <w:t>opportunities for development in our Prospects portfolio that spans the 595,900 acres of leased acreage currently maintained in our portfolio. We aim to pursue development on our robust pipeline at a more accelerated pace beyond 2030. See “Prospectus Summary—Our Project Pipeline” for more information related to our projects.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tabs>
          <w:tab w:leader="none" w:pos="180" w:val="left"/>
          <w:tab w:leader="none" w:pos="2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Execute Technology Roadmap and Achieve Nth-of-a-Kind Cost Structure:</w:t>
      </w:r>
      <w:r>
        <w:rPr>
          <w:sz w:val="20"/>
          <w:szCs w:val="20"/>
          <w:color w:val="auto"/>
        </w:rPr>
        <w:tab/>
      </w:r>
      <w:r>
        <w:rPr>
          <w:rFonts w:ascii="Times New Roman" w:cs="Times New Roman" w:eastAsia="Times New Roman" w:hAnsi="Times New Roman"/>
          <w:sz w:val="14"/>
          <w:szCs w:val="14"/>
          <w:color w:val="auto"/>
        </w:rPr>
        <w:t>We believe our attractive</w:t>
      </w:r>
    </w:p>
    <w:p>
      <w:pPr>
        <w:spacing w:after="0" w:line="29" w:lineRule="exact"/>
        <w:rPr>
          <w:sz w:val="20"/>
          <w:szCs w:val="20"/>
          <w:color w:val="auto"/>
        </w:rPr>
      </w:pPr>
    </w:p>
    <w:p>
      <w:pPr>
        <w:jc w:val="both"/>
        <w:ind w:left="1660" w:right="1199"/>
        <w:spacing w:after="0" w:line="256" w:lineRule="auto"/>
        <w:rPr>
          <w:sz w:val="20"/>
          <w:szCs w:val="20"/>
          <w:color w:val="auto"/>
        </w:rPr>
      </w:pPr>
      <w:r>
        <w:rPr>
          <w:rFonts w:ascii="Times New Roman" w:cs="Times New Roman" w:eastAsia="Times New Roman" w:hAnsi="Times New Roman"/>
          <w:sz w:val="14"/>
          <w:szCs w:val="14"/>
          <w:color w:val="auto"/>
        </w:rPr>
        <w:t>asset-level returns will continue to improve, following well-established learning curves observed across the energy industry. By drilling deeper wells to access higher-temperature reservoirs, extending lateral lengths, and widening wellbore diameters, we expect to achieve progressively higher power output per well.</w:t>
      </w:r>
    </w:p>
    <w:p>
      <w:pPr>
        <w:ind w:left="1660" w:right="1199"/>
        <w:spacing w:after="0" w:line="261" w:lineRule="auto"/>
        <w:rPr>
          <w:sz w:val="20"/>
          <w:szCs w:val="20"/>
          <w:color w:val="auto"/>
        </w:rPr>
      </w:pPr>
      <w:r>
        <w:rPr>
          <w:rFonts w:ascii="Times New Roman" w:cs="Times New Roman" w:eastAsia="Times New Roman" w:hAnsi="Times New Roman"/>
          <w:sz w:val="14"/>
          <w:szCs w:val="14"/>
          <w:color w:val="auto"/>
        </w:rPr>
        <w:t>Additional cost efficiencies will come from standardizing power generation equipment, securing multi-year supply agreements, and capturing economies of scale across construction scopes. We believe these efforts will reduce our costs from the current approximately $7,000/kW, already among the lowest-cost sources of baseload power, toward our long-term target of $3,000/kW.</w:t>
      </w:r>
    </w:p>
    <w:p>
      <w:pPr>
        <w:spacing w:after="0" w:line="98" w:lineRule="exact"/>
        <w:rPr>
          <w:sz w:val="20"/>
          <w:szCs w:val="20"/>
          <w:color w:val="auto"/>
        </w:rPr>
      </w:pPr>
    </w:p>
    <w:p>
      <w:pPr>
        <w:ind w:left="1660" w:right="1179" w:hanging="249"/>
        <w:spacing w:after="0" w:line="260"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Establish Programmatic Offtake Partnerships: </w:t>
      </w:r>
      <w:r>
        <w:rPr>
          <w:rFonts w:ascii="Times New Roman" w:cs="Times New Roman" w:eastAsia="Times New Roman" w:hAnsi="Times New Roman"/>
          <w:sz w:val="14"/>
          <w:szCs w:val="14"/>
          <w:color w:val="auto"/>
        </w:rPr>
        <w:t>We are pursuing multi-year, multi-gigawatt offtake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partnerships with both utilities and hyperscalers to substantially de-risk commercial development across multiple GeoClusters. We believe that these offtake partnerships with hyperscalers – such as the 3-gigawatt GFA – will provide us with a path to potentially capitalize on predictable, long-term demand, pricing visibility, and opportunities for co-located, behind-the-meter development that will boost our positioning among AI data centers.</w:t>
      </w:r>
    </w:p>
    <w:p>
      <w:pPr>
        <w:spacing w:after="0" w:line="2" w:lineRule="exact"/>
        <w:rPr>
          <w:rFonts w:ascii="Times New Roman" w:cs="Times New Roman" w:eastAsia="Times New Roman" w:hAnsi="Times New Roman"/>
          <w:sz w:val="14"/>
          <w:szCs w:val="14"/>
          <w:color w:val="auto"/>
        </w:rPr>
      </w:pPr>
    </w:p>
    <w:p>
      <w:pPr>
        <w:ind w:left="1660" w:right="1199" w:hanging="249"/>
        <w:spacing w:after="0" w:line="258"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Geographic Scope of Development: </w:t>
      </w:r>
      <w:r>
        <w:rPr>
          <w:rFonts w:ascii="Times New Roman" w:cs="Times New Roman" w:eastAsia="Times New Roman" w:hAnsi="Times New Roman"/>
          <w:sz w:val="14"/>
          <w:szCs w:val="14"/>
          <w:color w:val="auto"/>
        </w:rPr>
        <w:t>Building on our learning curves and demonstrated progress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Red and Cape Station, we are codifying a repeatable playbook to expand commercial geothermal development beyond beachhead locations in the western United States and into other power markets where high wholesale power prices, particularly for baseload generation, present attractive growth opportunities. Over time, we intend to deploy our EGS technology outside of the United States, prioritizing jurisdictions with clear decarbonization mandates, supportive regulatory frameworks, and subsurface conditions favorable to EGS development. We intend to advance this expansion through strategic partnerships and targeted pilot projects to validate performance, adapt to local market requirements, and establish a repeatable model for international scaling.</w:t>
      </w:r>
    </w:p>
    <w:p>
      <w:pPr>
        <w:spacing w:after="0" w:line="100" w:lineRule="exact"/>
        <w:rPr>
          <w:rFonts w:ascii="Times New Roman" w:cs="Times New Roman" w:eastAsia="Times New Roman" w:hAnsi="Times New Roman"/>
          <w:sz w:val="14"/>
          <w:szCs w:val="14"/>
          <w:color w:val="auto"/>
        </w:rPr>
      </w:pPr>
    </w:p>
    <w:p>
      <w:pPr>
        <w:ind w:left="1660" w:right="1199" w:hanging="249"/>
        <w:spacing w:after="0" w:line="264"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Pursue Complementary Verticals: </w:t>
      </w:r>
      <w:r>
        <w:rPr>
          <w:rFonts w:ascii="Times New Roman" w:cs="Times New Roman" w:eastAsia="Times New Roman" w:hAnsi="Times New Roman"/>
          <w:sz w:val="14"/>
          <w:szCs w:val="14"/>
          <w:color w:val="auto"/>
        </w:rPr>
        <w:t>We believe we are well positioned to leverage our proven approach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enter adjacent markets, including energy storage, industrial process heat, and district heating. We are one of the leaders in innovation for subsurface energy storage through our tested and patented approach, FervoFlex. Our ability to monetize both power and heat, moreover, distinguishes us from other power providers. By unlocking new customer segments, we believe we will be able to meet the evolving needs of industrial, commercial, municipal, and operating company energy buyers.</w:t>
      </w:r>
    </w:p>
    <w:p>
      <w:pPr>
        <w:sectPr>
          <w:pgSz w:w="11900" w:h="16838" w:orient="portrait"/>
          <w:cols w:equalWidth="0" w:num="1">
            <w:col w:w="9019"/>
          </w:cols>
          <w:pgMar w:left="1440" w:top="94" w:right="1440" w:bottom="0" w:gutter="0" w:footer="0" w:header="0"/>
          <w:type w:val="continuous"/>
        </w:sectPr>
      </w:pPr>
    </w:p>
    <w:bookmarkStart w:id="17" w:name="page18"/>
    <w:bookmarkEnd w:id="17"/>
    <w:p>
      <w:pPr>
        <w:ind w:left="11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-77470</wp:posOffset>
            </wp:positionV>
            <wp:extent cx="716026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Preliminary Financial and Operating Results for the Three Months Ended March 31, 2026 (Unaudited)</w:t>
      </w:r>
    </w:p>
    <w:p>
      <w:pPr>
        <w:spacing w:after="0" w:line="144"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Set forth below are selected preliminary consolidated unaudited financial and operating results for the three months ended March 31, 2026. Our complete consolidated financial statements for the three months ended March 31, 2026 are not yet available. The following information reflects our preliminary estimates with respect to the results for the three months ended March 31, 2026, which are based on currently available information and are subject to change. We have provided approximate amounts or ranges, rather than specific amounts, for the preliminary results described below primarily because our financial closing procedures for the three months ended March 31, 2026 are not yet complete and, as a result, our final results upon completion of our closing procedures may vary from the preliminary estimates. These estimates should not be viewed as a substitute for interim financial statements prepared in accordance with GAAP.</w:t>
      </w:r>
    </w:p>
    <w:p>
      <w:pPr>
        <w:spacing w:after="0" w:line="106" w:lineRule="exact"/>
        <w:rPr>
          <w:sz w:val="20"/>
          <w:szCs w:val="20"/>
          <w:color w:val="auto"/>
        </w:rPr>
      </w:pPr>
    </w:p>
    <w:p>
      <w:pPr>
        <w:ind w:left="1160" w:right="1499" w:firstLine="258"/>
        <w:spacing w:after="0" w:line="265" w:lineRule="auto"/>
        <w:rPr>
          <w:sz w:val="20"/>
          <w:szCs w:val="20"/>
          <w:color w:val="auto"/>
        </w:rPr>
      </w:pPr>
      <w:r>
        <w:rPr>
          <w:rFonts w:ascii="Times New Roman" w:cs="Times New Roman" w:eastAsia="Times New Roman" w:hAnsi="Times New Roman"/>
          <w:sz w:val="14"/>
          <w:szCs w:val="14"/>
          <w:color w:val="auto"/>
        </w:rPr>
        <w:t>This selected preliminary consolidated financial data has been prepared by, and is the responsibility of, our management. Our independent registered public accounting firm, Deloitte &amp; Touche LLP, has not audited, reviewed, compiled or performed any procedures with respect to this preliminary consolidated financial data. Accordingly, Deloitte &amp; Touche LLP does not express an opinion or any other form of assurance with respect thereto.</w:t>
      </w:r>
    </w:p>
    <w:p>
      <w:pPr>
        <w:spacing w:after="0" w:line="99"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Revenue generated during the three months ended March 31, 2026 and 2025 includes ancillary fees associated with rights to geothermal production, which were immaterial for both periods and are not expected to be significant to our long-term revenue generation, as we have not yet commenced large-scale commercial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spacing w:after="0" w:line="261" w:lineRule="auto"/>
        <w:rPr>
          <w:sz w:val="20"/>
          <w:szCs w:val="20"/>
          <w:color w:val="auto"/>
        </w:rPr>
      </w:pPr>
      <w:r>
        <w:rPr>
          <w:rFonts w:ascii="Times New Roman" w:cs="Times New Roman" w:eastAsia="Times New Roman" w:hAnsi="Times New Roman"/>
          <w:sz w:val="14"/>
          <w:szCs w:val="14"/>
          <w:color w:val="auto"/>
        </w:rPr>
        <w:t>Additionally, for the three months ended March 31, 2026, we estimate net loss to be between $29.0 million and $35.0 million as compared to net loss of $9.1 million for the three months ended March 31, 2025. The expected increase in net loss is primarily expected to be due to increased general and administrative expenses driven by higher employee-related costs from headcount growth to support project development and corporate operations, including increased stock-based compensation expense related to stock options granted during the three months ended March 31, 2026, increased software and information technology costs, and costs associated with our transition to a public company. In addition, the increase in net loss is expected to reflect non-cash valuation remeasurement losses in the fair value of warrant liabilities during the three months ended March 31, 2026.</w:t>
      </w:r>
    </w:p>
    <w:p>
      <w:pPr>
        <w:spacing w:after="0" w:line="103"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As of March 31, 2026, our cash and cash equivalents were approximately $280.8 million, compared to $461.8 million as of December 31, 2025. As of March 31, 2026, our long-term debt was approximately $189.8 million, comprised of approximately $145.6 million outstanding under the XRC Facility and approximately $44.2 million outstanding under the Credit Facility, compared to total principal due for long-term debt of $175.6 million as of December 31, 2025. Subsequent to March 31, 2026, on April 14, 2026, we repaid all outstanding balances under the XRC Facility using proceeds from the Project Granite Facility, an approximately $421.4 million project finance credit facility with a syndicate of nine lenders for the first phase of our Cape Station development that we closed on March 6, 2026. As of April 29, 2026, we had an aggregate of $64.0 million of borrowings outstanding under the Credit Facility and $172.3 million of borrowings outstanding under the Project Granite Facility.</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Preliminary Capital Expenditure and Construction Update</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 the three months ended March 31, 2026, we estimate capital expenditures to be between $180.0 million and $200.0 million, as compared to capital expenditures of $93.9 million for the three months ended March 31, 2025. Capital expenditures during the period were primarily directed toward continued construction of our Cape Station project in Utah, where we have approximately 500 megawatts of capacity under construction.</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Preliminary Contractual and Commercial Update</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As of March 31, 2026, we had 658 megawatts of binding power purchase agreements with remaining terms of approximately 15 years, unchanged from December 31, 2025. In addition, during the three months ended March 31, 2026, we entered into a 3-gigawatt framework agreement with Google to advance and structure potential power offtake opportunities for current and planned data centers in both grid-connected and alternative energy solutions. For more information, please read “Business—Google Geothermal Framework Agreement” and “Risk Factors—The GFA is a non-binding agreement, and does not obligate Google to purchase power from us.”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Relating to Our Preliminary Financial and Operating Results</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The selected preliminary consolidated financial data presented above for the three months ended March 31, 2026 is preliminary, is not a comprehensive statement of our financial results and is subject to completion of our financial closing procedures. There are material limitations with making preliminary estimates of our financial and operating results prior to the completion of our financial closing procedures and our auditors’ review procedures for such period. It is possible that we, or our independent registered public accounting firm, may identify items that require us to make adjustments to the preliminary estimates of financial and operating results contained herein.</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financial statements for the period ended March 31, 2026 are not expected to be available until after this offering is completed. Our actual results for the period ended March 31, 2026 are not expected to differ materially from the preliminary estimates we have provided. However, these preliminary estimates are subject to completion of our financial closing procedures, final adjustments, and other developments arising between now and the time that our financial results for such period are finalized, which could result in changes to the preliminary estimates presented herein.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Summary Risk Factors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There are a number of risks that you should understand before making an investment decision regarding this</w:t>
      </w:r>
    </w:p>
    <w:p>
      <w:pPr>
        <w:spacing w:after="0" w:line="25" w:lineRule="exact"/>
        <w:rPr>
          <w:sz w:val="20"/>
          <w:szCs w:val="20"/>
          <w:color w:val="auto"/>
        </w:rPr>
      </w:pPr>
    </w:p>
    <w:p>
      <w:pPr>
        <w:ind w:left="1160" w:right="1239"/>
        <w:spacing w:after="0" w:line="272" w:lineRule="auto"/>
        <w:rPr>
          <w:sz w:val="20"/>
          <w:szCs w:val="20"/>
          <w:color w:val="auto"/>
        </w:rPr>
      </w:pPr>
      <w:r>
        <w:rPr>
          <w:rFonts w:ascii="Times New Roman" w:cs="Times New Roman" w:eastAsia="Times New Roman" w:hAnsi="Times New Roman"/>
          <w:sz w:val="14"/>
          <w:szCs w:val="14"/>
          <w:color w:val="auto"/>
        </w:rPr>
        <w:t xml:space="preserve">offering. These risks are discussed more fully in the section titled “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xml:space="preserve"> ” following this prospectus summary. If any of these risks actually occur, our business, financial condition, or results of operations could be</w:t>
      </w:r>
    </w:p>
    <w:p>
      <w:pPr>
        <w:sectPr>
          <w:pgSz w:w="11900" w:h="16838" w:orient="portrait"/>
          <w:cols w:equalWidth="0" w:num="1">
            <w:col w:w="9019"/>
          </w:cols>
          <w:pgMar w:left="1440" w:top="102" w:right="1440" w:bottom="308"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102" w:right="1440" w:bottom="308" w:gutter="0" w:footer="0" w:header="0"/>
          <w:type w:val="continuous"/>
        </w:sectPr>
      </w:pPr>
    </w:p>
    <w:bookmarkStart w:id="18" w:name="page19"/>
    <w:bookmarkEnd w:id="18"/>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materially and adversely affected. In such case, the trading price of our Class A common stock would likely decline, and you may lose all or part of your investment. These risks include, but are not limited to:</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Risks Related to Our Business</w:t>
      </w:r>
    </w:p>
    <w:p>
      <w:pPr>
        <w:spacing w:after="0" w:line="142" w:lineRule="exact"/>
        <w:rPr>
          <w:sz w:val="20"/>
          <w:szCs w:val="20"/>
          <w:color w:val="auto"/>
        </w:rPr>
      </w:pPr>
    </w:p>
    <w:p>
      <w:pPr>
        <w:ind w:left="1660" w:right="1559" w:hanging="249"/>
        <w:spacing w:after="0" w:line="29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nascent nature of our technology and the uncertainties related to its commercial viability and our limited operating history;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and risks associated with nearshoring supply chain operations;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constraints affecting project completion, costs, and timelines;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disrupting energy production, increasing costs, and affecting reputation;</w:t>
      </w:r>
    </w:p>
    <w:p>
      <w:pPr>
        <w:spacing w:after="0" w:line="139" w:lineRule="exact"/>
        <w:rPr>
          <w:rFonts w:ascii="Times New Roman" w:cs="Times New Roman" w:eastAsia="Times New Roman" w:hAnsi="Times New Roman"/>
          <w:sz w:val="14"/>
          <w:szCs w:val="14"/>
          <w:color w:val="auto"/>
        </w:rPr>
      </w:pPr>
    </w:p>
    <w:p>
      <w:pPr>
        <w:ind w:left="1660" w:right="1459" w:hanging="249"/>
        <w:spacing w:after="0" w:line="29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transformers and grid infrastructure, impeding project connectivity and revenue generation;</w:t>
      </w:r>
    </w:p>
    <w:p>
      <w:pPr>
        <w:spacing w:after="0" w:line="80" w:lineRule="exact"/>
        <w:rPr>
          <w:rFonts w:ascii="Times New Roman" w:cs="Times New Roman" w:eastAsia="Times New Roman" w:hAnsi="Times New Roman"/>
          <w:sz w:val="14"/>
          <w:szCs w:val="14"/>
          <w:color w:val="auto"/>
        </w:rPr>
      </w:pPr>
    </w:p>
    <w:p>
      <w:pPr>
        <w:ind w:left="1660" w:right="1499" w:hanging="249"/>
        <w:spacing w:after="0" w:line="29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transmission systems, including potential curtailments or recalls that could prevent delivery under our PPAs;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securing adequate interconnection and transmission capacity to support our project pipeline and PPA delivery obligations;</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obtain site-specific well permits and state and local authorizations (beyond federal approvals and associated NEPA reviews);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contractual obligations under our PPAs;</w:t>
      </w:r>
    </w:p>
    <w:p>
      <w:pPr>
        <w:spacing w:after="0" w:line="200" w:lineRule="exact"/>
        <w:rPr>
          <w:sz w:val="20"/>
          <w:szCs w:val="20"/>
          <w:color w:val="auto"/>
        </w:rPr>
      </w:pPr>
    </w:p>
    <w:p>
      <w:pPr>
        <w:spacing w:after="0" w:line="240" w:lineRule="exact"/>
        <w:rPr>
          <w:sz w:val="20"/>
          <w:szCs w:val="20"/>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load growth may not materialize as expected, or at all;</w:t>
      </w:r>
    </w:p>
    <w:p>
      <w:pPr>
        <w:spacing w:after="0" w:line="13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geothermal well underperformance or power plant underperformance, impacting energy output and financial performance;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market demand for geothermal energy affecting growth and financial performance;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Intense competition from other renewable energy sources impacting growth and profitability;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technological change in the energy sector reducing geothermal competitiveness;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Geological uncertainties affecting project feasibility, efficiency, and success;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concerns and opposition leading to increased costs, delays, and reputational damage;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energy prices impacting revenues, profitability, and market competitiveness;</w:t>
      </w:r>
    </w:p>
    <w:p>
      <w:pPr>
        <w:spacing w:after="0" w:line="200" w:lineRule="exact"/>
        <w:rPr>
          <w:sz w:val="20"/>
          <w:szCs w:val="20"/>
          <w:color w:val="auto"/>
        </w:rPr>
      </w:pPr>
    </w:p>
    <w:p>
      <w:pPr>
        <w:spacing w:after="0" w:line="240" w:lineRule="exact"/>
        <w:rPr>
          <w:sz w:val="20"/>
          <w:szCs w:val="20"/>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critical need to secure financing to support growth and project development;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effects of debt obligations on raising capital and cash reserves;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the availability and cost of non-recourse project finance, higher interest rates and dependence on federal and state incentives;</w:t>
      </w:r>
    </w:p>
    <w:p>
      <w:pPr>
        <w:spacing w:after="0" w:line="381" w:lineRule="exact"/>
        <w:rPr>
          <w:sz w:val="20"/>
          <w:szCs w:val="20"/>
          <w:color w:val="auto"/>
        </w:rPr>
      </w:pPr>
    </w:p>
    <w:p>
      <w:pPr>
        <w:ind w:left="1660" w:hanging="249"/>
        <w:spacing w:after="0"/>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U.S. government land leases and the associated regulatory and operational risks;</w:t>
      </w:r>
    </w:p>
    <w:p>
      <w:pPr>
        <w:spacing w:after="0" w:line="200" w:lineRule="exact"/>
        <w:rPr>
          <w:rFonts w:ascii="Times New Roman" w:cs="Times New Roman" w:eastAsia="Times New Roman" w:hAnsi="Times New Roman"/>
          <w:sz w:val="14"/>
          <w:szCs w:val="14"/>
          <w:color w:val="auto"/>
        </w:rPr>
      </w:pPr>
    </w:p>
    <w:p>
      <w:pPr>
        <w:spacing w:after="0" w:line="347"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hanging="249"/>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and trade restrictions on steel and other materials, increasing costs and delaying projects;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Lengthy and uncertain permitting processes delaying or preventing project development;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or policies affecting operations, cost structure, and market opportunities;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challenges and other opposition to our projects;</w:t>
      </w:r>
    </w:p>
    <w:p>
      <w:pPr>
        <w:spacing w:after="0" w:line="139"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FERC and NERC regimes, where non-compliance could result in penalties, operational restrictions, or increased costs;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Risks Related to Information Technology, Cybersecurity, Data Privacy and Intellectual Property</w:t>
      </w:r>
    </w:p>
    <w:p>
      <w:pPr>
        <w:spacing w:after="0" w:line="142" w:lineRule="exact"/>
        <w:rPr>
          <w:sz w:val="20"/>
          <w:szCs w:val="20"/>
          <w:color w:val="auto"/>
        </w:rPr>
      </w:pPr>
    </w:p>
    <w:p>
      <w:pPr>
        <w:ind w:left="1660" w:hanging="249"/>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risks impacting our competitive position, innovation, and legal costs;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operational technology risks, including cyber-attacks or other disruptions;</w:t>
      </w:r>
    </w:p>
    <w:p>
      <w:pPr>
        <w:spacing w:after="0" w:line="200" w:lineRule="exact"/>
        <w:rPr>
          <w:sz w:val="20"/>
          <w:szCs w:val="20"/>
          <w:color w:val="auto"/>
        </w:rPr>
      </w:pPr>
    </w:p>
    <w:p>
      <w:pPr>
        <w:spacing w:after="0" w:line="240" w:lineRule="exact"/>
        <w:rPr>
          <w:sz w:val="20"/>
          <w:szCs w:val="20"/>
          <w:color w:val="auto"/>
        </w:rPr>
      </w:pPr>
    </w:p>
    <w:p>
      <w:pPr>
        <w:ind w:left="1660" w:right="1619" w:hanging="249"/>
        <w:spacing w:after="0" w:line="292"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Weaknesses in internal controls over financial reporting impacting our business and the value of our common stock;</w:t>
      </w:r>
    </w:p>
    <w:p>
      <w:pPr>
        <w:spacing w:after="0" w:line="80" w:lineRule="exact"/>
        <w:rPr>
          <w:rFonts w:ascii="Times New Roman" w:cs="Times New Roman" w:eastAsia="Times New Roman" w:hAnsi="Times New Roman"/>
          <w:sz w:val="14"/>
          <w:szCs w:val="14"/>
          <w:color w:val="auto"/>
        </w:rPr>
      </w:pPr>
    </w:p>
    <w:p>
      <w:pPr>
        <w:ind w:left="1660" w:right="1219" w:hanging="249"/>
        <w:spacing w:after="0" w:line="274"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limitations with making preliminary estimates of our financial and operating results for the period ended March 31, 2026, prior to the completion of our and our auditors’ financial review procedures for such period;</w:t>
      </w:r>
    </w:p>
    <w:p>
      <w:pPr>
        <w:sectPr>
          <w:pgSz w:w="11900" w:h="16838" w:orient="portrait"/>
          <w:cols w:equalWidth="0" w:num="1">
            <w:col w:w="9019"/>
          </w:cols>
          <w:pgMar w:left="1440" w:top="264" w:right="1440" w:bottom="0" w:gutter="0" w:footer="0" w:header="0"/>
        </w:sectPr>
      </w:pPr>
    </w:p>
    <w:bookmarkStart w:id="19" w:name="page20"/>
    <w:bookmarkEnd w:id="19"/>
    <w:p>
      <w:pPr>
        <w:ind w:left="1420"/>
        <w:spacing w:after="0"/>
        <w:rPr>
          <w:sz w:val="20"/>
          <w:szCs w:val="20"/>
          <w:color w:val="auto"/>
        </w:rPr>
      </w:pPr>
      <w:r>
        <w:rPr>
          <w:rFonts w:ascii="Times New Roman" w:cs="Times New Roman" w:eastAsia="Times New Roman" w:hAnsi="Times New Roman"/>
          <w:sz w:val="14"/>
          <w:szCs w:val="14"/>
          <w:i w:val="1"/>
          <w:iCs w:val="1"/>
          <w:color w:val="auto"/>
        </w:rPr>
        <w:t>Risks Related to Our Employees and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-71120</wp:posOffset>
            </wp:positionV>
            <wp:extent cx="716026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4" w:lineRule="exact"/>
        <w:rPr>
          <w:sz w:val="20"/>
          <w:szCs w:val="20"/>
          <w:color w:val="auto"/>
        </w:rPr>
      </w:pPr>
    </w:p>
    <w:p>
      <w:pPr>
        <w:ind w:left="1660" w:right="1339" w:hanging="249"/>
        <w:spacing w:after="0" w:line="292" w:lineRule="auto"/>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our senior management team and other highly technically skilled personnel and risks related to their departure;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Risks Related to Owning Our Common Stock</w:t>
      </w:r>
    </w:p>
    <w:p>
      <w:pPr>
        <w:spacing w:after="0" w:line="142" w:lineRule="exact"/>
        <w:rPr>
          <w:sz w:val="20"/>
          <w:szCs w:val="20"/>
          <w:color w:val="auto"/>
        </w:rPr>
      </w:pPr>
    </w:p>
    <w:p>
      <w:pPr>
        <w:ind w:left="1660" w:right="1319" w:hanging="249"/>
        <w:spacing w:after="0" w:line="292" w:lineRule="auto"/>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Concentrated control of the company by Co-Founders in a multi-class structure having an adverse impact on the price of our common stock;</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an active, liquid, public market for our common stock and the risks inherent with a new and uncertain offering of common stock.</w:t>
      </w:r>
    </w:p>
    <w:p>
      <w:pPr>
        <w:spacing w:after="0" w:line="81"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Before you invest in our Class A common stock, you should carefully consider all of the information in this prospectus, including matters set forth under the heading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Implications of Being an Emerging Growth Company and Smaller Reporting Company</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99" w:lineRule="exact"/>
        <w:rPr>
          <w:sz w:val="20"/>
          <w:szCs w:val="20"/>
          <w:color w:val="auto"/>
        </w:rPr>
      </w:pPr>
    </w:p>
    <w:p>
      <w:pPr>
        <w:ind w:left="1660" w:right="1819" w:hanging="249"/>
        <w:spacing w:after="0" w:line="274" w:lineRule="auto"/>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only two years of audited financial statements and only two years of related Management’s Discussion and Analysis of Financial Condition and Results of Operations in this prospectus;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w:t>
      </w:r>
    </w:p>
    <w:p>
      <w:pPr>
        <w:spacing w:after="0" w:line="139"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requirement to conduct non-binding stockholder advisory votes on executive compensation or golden parachute arrangements;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660" w:right="1419" w:hanging="249"/>
        <w:spacing w:after="0" w:line="292" w:lineRule="auto"/>
        <w:tabs>
          <w:tab w:leader="none" w:pos="1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compliance with the requirement of the Public Company Accounting Oversight Board regarding communication of critical audit matters in the auditor’s report in the financial statements; and</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auditor attestation requirement in the auditing assessment over internal control over financial reporting.</w:t>
      </w:r>
    </w:p>
    <w:p>
      <w:pPr>
        <w:spacing w:after="0" w:line="8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take advantage of these provisions until the last day of our fiscal year following the fifth anniversary of the date of the first sale of our common stock in this offering or such earlier time that we are no longer an emerging growth company. We would cease to be an emerging growth company upon the earliest of: (i) the last day of the first fiscal year in which our annual gross revenues are $1.235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Securities and Exchange Act of 1934, as amended (the “Exchange Act”), for a period of at least 12 months and (z) have filed at least one annual report pursuant to the Exchange Act.</w:t>
      </w:r>
    </w:p>
    <w:p>
      <w:pPr>
        <w:spacing w:after="0" w:line="10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0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may choose to take advantage of some or all of these reduced burdens. We have elected to adopt the reduced requirements with respect to the presentation of our financial statements and “Management’s Discussion and Analysis of Financial Condition and Results of Operations” disclosure. Further, pursuant to Section 107 of the JOBS Act, as an emerging growth company, we have elected to take advantage of the extended transition period for complying with new or revised accounting standards until those standards would otherwise apply to private companies. It is possible that some investors will find our common stock less attractive as a result of these elections, which may result in a less active trading market for our common stock and higher volatility in our stock price.</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For additional information, see the section titled “Risk Factors—Risks Related to this Offering and Ownership of Our Class A common stock—We are an “ emerging growth company” and we cannot be certain if the reduced disclosure requirements applicable to “emerging growth companies” will make our Class A common stock less attractive to investors.”</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Corporate Information</w:t>
      </w:r>
    </w:p>
    <w:p>
      <w:pPr>
        <w:spacing w:after="0" w:line="144" w:lineRule="exact"/>
        <w:rPr>
          <w:sz w:val="20"/>
          <w:szCs w:val="20"/>
          <w:color w:val="auto"/>
        </w:rPr>
      </w:pPr>
    </w:p>
    <w:p>
      <w:pPr>
        <w:ind w:left="1160" w:right="1179" w:firstLine="258"/>
        <w:spacing w:after="0" w:line="266" w:lineRule="auto"/>
        <w:rPr>
          <w:sz w:val="20"/>
          <w:szCs w:val="20"/>
          <w:color w:val="auto"/>
        </w:rPr>
      </w:pPr>
      <w:r>
        <w:rPr>
          <w:rFonts w:ascii="Times New Roman" w:cs="Times New Roman" w:eastAsia="Times New Roman" w:hAnsi="Times New Roman"/>
          <w:sz w:val="14"/>
          <w:szCs w:val="14"/>
          <w:color w:val="auto"/>
        </w:rPr>
        <w:t>Fervo Energy Company, the registrant and the issuer of the Class A common stock in this offering, was incorporated as a Delaware corporation on May 26, 2017. Our corporate headquarters are located at 811 Main Street,</w:t>
      </w:r>
    </w:p>
    <w:p>
      <w:pPr>
        <w:spacing w:after="0" w:line="1" w:lineRule="exact"/>
        <w:rPr>
          <w:sz w:val="20"/>
          <w:szCs w:val="20"/>
          <w:color w:val="auto"/>
        </w:rPr>
      </w:pPr>
    </w:p>
    <w:p>
      <w:pPr>
        <w:ind w:left="1160" w:right="1359"/>
        <w:spacing w:after="0" w:line="261" w:lineRule="auto"/>
        <w:rPr>
          <w:sz w:val="20"/>
          <w:szCs w:val="20"/>
          <w:color w:val="auto"/>
        </w:rPr>
      </w:pPr>
      <w:r>
        <w:rPr>
          <w:rFonts w:ascii="Times New Roman" w:cs="Times New Roman" w:eastAsia="Times New Roman" w:hAnsi="Times New Roman"/>
          <w:sz w:val="14"/>
          <w:szCs w:val="14"/>
          <w:color w:val="auto"/>
        </w:rPr>
        <w:t xml:space="preserve">Suite 1700, Houston, TX 77002. Our telephone number is (832) </w:t>
      </w:r>
      <w:r>
        <w:rPr>
          <w:rFonts w:ascii="Times New Roman" w:cs="Times New Roman" w:eastAsia="Times New Roman" w:hAnsi="Times New Roman"/>
          <w:sz w:val="12"/>
          <w:szCs w:val="12"/>
          <w:color w:val="auto"/>
        </w:rPr>
        <w:t>554-3253</w:t>
      </w:r>
      <w:r>
        <w:rPr>
          <w:rFonts w:ascii="Times New Roman" w:cs="Times New Roman" w:eastAsia="Times New Roman" w:hAnsi="Times New Roman"/>
          <w:sz w:val="14"/>
          <w:szCs w:val="14"/>
          <w:color w:val="auto"/>
        </w:rPr>
        <w:t>. Our principal website address is www.fervoenergy.com. The information on, or that can be accessed through, our website is deemed not to be incorporated in this prospectus or to be part of this prospectus. You should not consider information contained on our website to be part of this prospectus in deciding whether to purchase shares of our Class A common stock.</w:t>
      </w:r>
    </w:p>
    <w:p>
      <w:pPr>
        <w:sectPr>
          <w:pgSz w:w="11900" w:h="16838" w:orient="portrait"/>
          <w:cols w:equalWidth="0" w:num="1">
            <w:col w:w="9019"/>
          </w:cols>
          <w:pgMar w:left="1440" w:top="91" w:right="1440" w:bottom="486" w:gutter="0" w:footer="0" w:header="0"/>
        </w:sectPr>
      </w:pPr>
    </w:p>
    <w:bookmarkStart w:id="20" w:name="page21"/>
    <w:bookmarkEnd w:id="20"/>
    <w:p>
      <w:pPr>
        <w:jc w:val="center"/>
        <w:ind w:right="-1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60" w:right="1219" w:firstLine="258"/>
        <w:spacing w:after="0" w:line="262" w:lineRule="auto"/>
        <w:rPr>
          <w:sz w:val="20"/>
          <w:szCs w:val="20"/>
          <w:color w:val="auto"/>
        </w:rPr>
      </w:pPr>
      <w:r>
        <w:rPr>
          <w:rFonts w:ascii="Times New Roman" w:cs="Times New Roman" w:eastAsia="Times New Roman" w:hAnsi="Times New Roman"/>
          <w:sz w:val="14"/>
          <w:szCs w:val="14"/>
          <w:color w:val="auto"/>
        </w:rPr>
        <w:t>We are a holding company and have no direct operations. All of our business operations are conducted through our subsidiaries, including Fervo HoldCo LLC. Our principal asset is the equity interest in Fervo HoldCo LLC, which, together with its subsidiaries, owns substantially all of our operating assets. As a result, we are dependent on the ability of our subsidiaries to generate revenue and to make loans, pay dividends and make other payments to generate the funds necessary to meet our financial obligations and to pay dividends to stockholders, if any. The below chart illustrates our current corporate organizational structure immediately after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119"/>
          </w:cols>
          <w:pgMar w:left="1340" w:top="501"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9019"/>
          </w:cols>
          <w:pgMar w:left="1440" w:top="1440" w:right="1440" w:bottom="351" w:gutter="0" w:footer="0" w:header="0"/>
        </w:sectPr>
      </w:pPr>
    </w:p>
    <w:p>
      <w:pPr>
        <w:spacing w:after="0" w:line="19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Class A common stock offered by us</w:t>
      </w:r>
      <w:r>
        <w:rPr>
          <w:rFonts w:ascii="Times New Roman" w:cs="Times New Roman" w:eastAsia="Times New Roman" w:hAnsi="Times New Roman"/>
          <w:sz w:val="14"/>
          <w:szCs w:val="14"/>
          <w:color w:val="B4B4B4"/>
        </w:rPr>
        <w:t>................</w:t>
      </w:r>
    </w:p>
    <w:p>
      <w:pPr>
        <w:spacing w:after="0" w:line="200" w:lineRule="exact"/>
        <w:rPr>
          <w:sz w:val="20"/>
          <w:szCs w:val="20"/>
          <w:color w:val="auto"/>
        </w:rPr>
      </w:pPr>
    </w:p>
    <w:p>
      <w:pPr>
        <w:spacing w:after="0" w:line="2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Underwriters’ option to purchase additional</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shares of Class A common stock </w:t>
      </w:r>
      <w:r>
        <w:rPr>
          <w:rFonts w:ascii="Times New Roman" w:cs="Times New Roman" w:eastAsia="Times New Roman" w:hAnsi="Times New Roman"/>
          <w:sz w:val="14"/>
          <w:szCs w:val="14"/>
          <w:color w:val="B4B4B4"/>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Class A common stock to be outstanding after</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this offering</w:t>
      </w:r>
      <w:r>
        <w:rPr>
          <w:rFonts w:ascii="Times New Roman" w:cs="Times New Roman" w:eastAsia="Times New Roman" w:hAnsi="Times New Roman"/>
          <w:sz w:val="14"/>
          <w:szCs w:val="14"/>
          <w:color w:val="B4B4B4"/>
        </w:rPr>
        <w:t>....................................................</w:t>
      </w:r>
    </w:p>
    <w:p>
      <w:pPr>
        <w:spacing w:after="0" w:line="3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Class B common stock to be outstanding after</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this offering</w:t>
      </w:r>
      <w:r>
        <w:rPr>
          <w:rFonts w:ascii="Times New Roman" w:cs="Times New Roman" w:eastAsia="Times New Roman" w:hAnsi="Times New Roman"/>
          <w:sz w:val="14"/>
          <w:szCs w:val="14"/>
          <w:color w:val="B4B4B4"/>
        </w:rPr>
        <w:t>....................................................</w:t>
      </w:r>
    </w:p>
    <w:p>
      <w:pPr>
        <w:spacing w:after="0" w:line="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Total Class A and Class B common stock to</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be outstanding immediately after this</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offering </w:t>
      </w:r>
      <w:r>
        <w:rPr>
          <w:rFonts w:ascii="Times New Roman" w:cs="Times New Roman" w:eastAsia="Times New Roman" w:hAnsi="Times New Roman"/>
          <w:sz w:val="14"/>
          <w:szCs w:val="14"/>
          <w:color w:val="B4B4B4"/>
        </w:rPr>
        <w:t>..........................................................</w:t>
      </w:r>
    </w:p>
    <w:p>
      <w:pPr>
        <w:spacing w:after="0" w:line="3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Voting power of Class A common stock after</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giving effect to this offering </w:t>
      </w:r>
      <w:r>
        <w:rPr>
          <w:rFonts w:ascii="Times New Roman" w:cs="Times New Roman" w:eastAsia="Times New Roman" w:hAnsi="Times New Roman"/>
          <w:sz w:val="14"/>
          <w:szCs w:val="14"/>
          <w:color w:val="B4B4B4"/>
        </w:rPr>
        <w:t>..........................</w:t>
      </w:r>
    </w:p>
    <w:p>
      <w:pPr>
        <w:spacing w:after="0" w:line="2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Voting power of Class B common stock after</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giving effect to this offering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519"/>
        <w:spacing w:after="0" w:line="274" w:lineRule="auto"/>
        <w:rPr>
          <w:sz w:val="20"/>
          <w:szCs w:val="20"/>
          <w:color w:val="auto"/>
        </w:rPr>
      </w:pPr>
      <w:r>
        <w:rPr>
          <w:rFonts w:ascii="Times New Roman" w:cs="Times New Roman" w:eastAsia="Times New Roman" w:hAnsi="Times New Roman"/>
          <w:sz w:val="14"/>
          <w:szCs w:val="14"/>
          <w:color w:val="auto"/>
        </w:rPr>
        <w:t>70,000,000 shares (or 80,500,000 shares if the underwriters exercise their option to purchase additional shares of Class A common stock from us in full).</w:t>
      </w:r>
    </w:p>
    <w:p>
      <w:pPr>
        <w:spacing w:after="0" w:line="157" w:lineRule="exact"/>
        <w:rPr>
          <w:sz w:val="20"/>
          <w:szCs w:val="20"/>
          <w:color w:val="auto"/>
        </w:rPr>
      </w:pPr>
    </w:p>
    <w:p>
      <w:pPr>
        <w:ind w:right="1339"/>
        <w:spacing w:after="0" w:line="265" w:lineRule="auto"/>
        <w:rPr>
          <w:sz w:val="20"/>
          <w:szCs w:val="20"/>
          <w:color w:val="auto"/>
        </w:rPr>
      </w:pPr>
      <w:r>
        <w:rPr>
          <w:rFonts w:ascii="Times New Roman" w:cs="Times New Roman" w:eastAsia="Times New Roman" w:hAnsi="Times New Roman"/>
          <w:sz w:val="14"/>
          <w:szCs w:val="14"/>
          <w:color w:val="auto"/>
        </w:rPr>
        <w:t>The underwriters have an option to purchase up to 10,500,000 additional shares of Class A common stock from us at the initial public offering price, less the underwriting discounts and commissions. The underwriters can exercise this option at any time within 30 days from the date of this prospectus.</w:t>
      </w:r>
    </w:p>
    <w:p>
      <w:pPr>
        <w:spacing w:after="0" w:line="174" w:lineRule="exact"/>
        <w:rPr>
          <w:sz w:val="20"/>
          <w:szCs w:val="20"/>
          <w:color w:val="auto"/>
        </w:rPr>
      </w:pPr>
    </w:p>
    <w:p>
      <w:pPr>
        <w:jc w:val="both"/>
        <w:ind w:right="1459"/>
        <w:spacing w:after="0" w:line="274" w:lineRule="auto"/>
        <w:rPr>
          <w:sz w:val="20"/>
          <w:szCs w:val="20"/>
          <w:color w:val="auto"/>
        </w:rPr>
      </w:pPr>
      <w:r>
        <w:rPr>
          <w:rFonts w:ascii="Times New Roman" w:cs="Times New Roman" w:eastAsia="Times New Roman" w:hAnsi="Times New Roman"/>
          <w:sz w:val="14"/>
          <w:szCs w:val="14"/>
          <w:color w:val="auto"/>
        </w:rPr>
        <w:t>275,776,919 shares (or 286,276,919 shares if the underwriters exercise their option to purchase additional shares of Class A common stock in full).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7,785,414 shares.</w:t>
      </w:r>
    </w:p>
    <w:p>
      <w:pPr>
        <w:spacing w:after="0" w:line="397" w:lineRule="exact"/>
        <w:rPr>
          <w:sz w:val="20"/>
          <w:szCs w:val="20"/>
          <w:color w:val="auto"/>
        </w:rPr>
      </w:pPr>
    </w:p>
    <w:p>
      <w:pPr>
        <w:jc w:val="both"/>
        <w:ind w:right="1459"/>
        <w:spacing w:after="0" w:line="274" w:lineRule="auto"/>
        <w:rPr>
          <w:sz w:val="20"/>
          <w:szCs w:val="20"/>
          <w:color w:val="auto"/>
        </w:rPr>
      </w:pPr>
      <w:r>
        <w:rPr>
          <w:rFonts w:ascii="Times New Roman" w:cs="Times New Roman" w:eastAsia="Times New Roman" w:hAnsi="Times New Roman"/>
          <w:sz w:val="14"/>
          <w:szCs w:val="14"/>
          <w:color w:val="auto"/>
        </w:rPr>
        <w:t>283,562,333 shares (or 294,062,333 shares if the underwriters exercise their option to purchase additional shares of Class A common stock in full).</w:t>
      </w:r>
    </w:p>
    <w:p>
      <w:pPr>
        <w:spacing w:after="0" w:line="190" w:lineRule="exact"/>
        <w:rPr>
          <w:sz w:val="20"/>
          <w:szCs w:val="20"/>
          <w:color w:val="auto"/>
        </w:rPr>
      </w:pPr>
    </w:p>
    <w:p>
      <w:pPr>
        <w:jc w:val="both"/>
        <w:ind w:right="1439"/>
        <w:spacing w:after="0" w:line="292" w:lineRule="auto"/>
        <w:rPr>
          <w:sz w:val="20"/>
          <w:szCs w:val="20"/>
          <w:color w:val="auto"/>
        </w:rPr>
      </w:pPr>
      <w:r>
        <w:rPr>
          <w:rFonts w:ascii="Times New Roman" w:cs="Times New Roman" w:eastAsia="Times New Roman" w:hAnsi="Times New Roman"/>
          <w:sz w:val="14"/>
          <w:szCs w:val="14"/>
          <w:color w:val="auto"/>
        </w:rPr>
        <w:t>46.97% (or 47.90% if the underwriters exercise their option to purchase additional shares of Class A common stock in full).</w:t>
      </w:r>
    </w:p>
    <w:p>
      <w:pPr>
        <w:spacing w:after="0" w:line="177" w:lineRule="exact"/>
        <w:rPr>
          <w:sz w:val="20"/>
          <w:szCs w:val="20"/>
          <w:color w:val="auto"/>
        </w:rPr>
      </w:pPr>
    </w:p>
    <w:p>
      <w:pPr>
        <w:jc w:val="both"/>
        <w:ind w:right="1439"/>
        <w:spacing w:after="0" w:line="292" w:lineRule="auto"/>
        <w:rPr>
          <w:sz w:val="20"/>
          <w:szCs w:val="20"/>
          <w:color w:val="auto"/>
        </w:rPr>
      </w:pPr>
      <w:r>
        <w:rPr>
          <w:rFonts w:ascii="Times New Roman" w:cs="Times New Roman" w:eastAsia="Times New Roman" w:hAnsi="Times New Roman"/>
          <w:sz w:val="14"/>
          <w:szCs w:val="14"/>
          <w:color w:val="auto"/>
        </w:rPr>
        <w:t>53.03% (or 52.10% if the underwriters exercise their option to purchase additional shares of Class A common stock in full).</w:t>
      </w:r>
    </w:p>
    <w:p>
      <w:pPr>
        <w:spacing w:after="0" w:line="200" w:lineRule="exact"/>
        <w:rPr>
          <w:sz w:val="20"/>
          <w:szCs w:val="20"/>
          <w:color w:val="auto"/>
        </w:rPr>
      </w:pPr>
    </w:p>
    <w:p>
      <w:pPr>
        <w:sectPr>
          <w:pgSz w:w="11900" w:h="16838" w:orient="portrait"/>
          <w:cols w:equalWidth="0" w:num="2">
            <w:col w:w="3900" w:space="100"/>
            <w:col w:w="5019"/>
          </w:cols>
          <w:pgMar w:left="1440" w:top="1440" w:right="1440" w:bottom="35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1440" w:right="1440" w:bottom="351" w:gutter="0" w:footer="0" w:header="0"/>
          <w:type w:val="continuous"/>
        </w:sectPr>
      </w:pPr>
    </w:p>
    <w:bookmarkStart w:id="22" w:name="page23"/>
    <w:bookmarkEnd w:id="22"/>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Table of Contents</w:t>
      </w:r>
    </w:p>
    <w:p>
      <w:pPr>
        <w:sectPr>
          <w:pgSz w:w="11900" w:h="16838" w:orient="portrait"/>
          <w:cols w:equalWidth="0" w:num="1">
            <w:col w:w="9019"/>
          </w:cols>
          <w:pgMar w:left="1440" w:top="2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Use of proceeds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approximately $1,767,385,600 (or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$2,033,875,600 if the underwriters exercise in full their option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additional shares of Class A common stock), based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initial public offering price of $27.00 per share and after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deducting estimated underwriting discounts and commissions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offering expenses payable by us.</w:t>
      </w:r>
    </w:p>
    <w:p>
      <w:pPr>
        <w:spacing w:after="0" w:line="126" w:lineRule="exact"/>
        <w:rPr>
          <w:sz w:val="20"/>
          <w:szCs w:val="20"/>
          <w:color w:val="auto"/>
        </w:rPr>
      </w:pPr>
    </w:p>
    <w:p>
      <w:pPr>
        <w:sectPr>
          <w:pgSz w:w="11900" w:h="16838" w:orient="portrait"/>
          <w:cols w:equalWidth="0" w:num="2">
            <w:col w:w="3900" w:space="100"/>
            <w:col w:w="5019"/>
          </w:cols>
          <w:pgMar w:left="1440" w:top="221" w:right="1440"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4"/>
          <w:szCs w:val="14"/>
          <w:color w:val="auto"/>
        </w:rPr>
        <w:t>The principal purposes of this offering are to increase our</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capitalization and financial flexibility, create a public market for</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our Class A common stock, and enable access to the public equity</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markets for us and our Class A common stockholders. We intend</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to use the net proceeds from this offering for general corporate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purposes, including project-level capital expenditures, continued</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development of our GeoClusters and portfolio of land holdings,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working capital and operating expenses. Pending identification of</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specific uses, our priority is capital expenditures, continued</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development of our GeoClusters and portfolio of land holdings,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then working capital and operating expenses, and a significant</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portion is not currently allocated; accordingly we cannot estimate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amounts for each use. We will have broad discretion in the way</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that we use the net proceeds of this offering. If proceeds are less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than expected, we will prioritize working capital and operating</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expenses. See “Use of Proceeds.”</w:t>
      </w:r>
    </w:p>
    <w:p>
      <w:pPr>
        <w:sectPr>
          <w:pgSz w:w="11900" w:h="16838" w:orient="portrait"/>
          <w:cols w:equalWidth="0" w:num="1">
            <w:col w:w="9019"/>
          </w:cols>
          <w:pgMar w:left="1440" w:top="2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221" w:right="1440" w:bottom="1440" w:gutter="0" w:footer="0" w:header="0"/>
          <w:type w:val="continuous"/>
        </w:sectPr>
      </w:pPr>
    </w:p>
    <w:bookmarkStart w:id="23" w:name="page24"/>
    <w:bookmarkEnd w:id="23"/>
    <w:p>
      <w:pPr>
        <w:ind w:left="12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 xml:space="preserve">Voting rights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Upon completion of this offering, we will have two classes of</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common stock outstanding: Class A common stock and Class B</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common stock. The rights of the holders of our Class A common</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stock and Class B common stock are identical, except with respect</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to voting, conversion and transfer rights. Each share of our Class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A common stock is entitled to one vote per share. Each share of</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our Class B common stock is entitled to 40 votes per share.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Holders of shares of our Class A common stock and Class B</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common stock will generally vote together as a single class,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unlessImmediatelyotherwisefollowingrequiredthebycompletilawor</w:t>
      </w:r>
      <w:r>
        <w:rPr>
          <w:rFonts w:ascii="Times New Roman" w:cs="Times New Roman" w:eastAsia="Times New Roman" w:hAnsi="Times New Roman"/>
          <w:sz w:val="8"/>
          <w:szCs w:val="8"/>
          <w:b w:val="1"/>
          <w:bCs w:val="1"/>
          <w:color w:val="auto"/>
        </w:rPr>
        <w:t>o</w:t>
      </w:r>
      <w:r>
        <w:rPr>
          <w:rFonts w:ascii="Times New Roman" w:cs="Times New Roman" w:eastAsia="Times New Roman" w:hAnsi="Times New Roman"/>
          <w:sz w:val="8"/>
          <w:szCs w:val="8"/>
          <w:color w:val="auto"/>
        </w:rPr>
        <w:t>nurofAmendedthisoffering,Charterandthat</w:t>
      </w:r>
    </w:p>
    <w:p>
      <w:pPr>
        <w:spacing w:after="0" w:line="8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becoassumingeseffectivenoexerc</w:t>
      </w:r>
      <w:r>
        <w:rPr>
          <w:rFonts w:ascii="Times New Roman" w:cs="Times New Roman" w:eastAsia="Times New Roman" w:hAnsi="Times New Roman"/>
          <w:sz w:val="8"/>
          <w:szCs w:val="8"/>
          <w:b w:val="1"/>
          <w:bCs w:val="1"/>
          <w:color w:val="auto"/>
        </w:rPr>
        <w:t>i</w:t>
      </w:r>
      <w:r>
        <w:rPr>
          <w:rFonts w:ascii="Times New Roman" w:cs="Times New Roman" w:eastAsia="Times New Roman" w:hAnsi="Times New Roman"/>
          <w:sz w:val="8"/>
          <w:szCs w:val="8"/>
          <w:color w:val="auto"/>
        </w:rPr>
        <w:t>semmediatelyoftheundepriow</w:t>
      </w:r>
      <w:r>
        <w:rPr>
          <w:rFonts w:ascii="Times New Roman" w:cs="Times New Roman" w:eastAsia="Times New Roman" w:hAnsi="Times New Roman"/>
          <w:sz w:val="8"/>
          <w:szCs w:val="8"/>
          <w:b w:val="1"/>
          <w:bCs w:val="1"/>
          <w:color w:val="auto"/>
        </w:rPr>
        <w:t>r</w:t>
      </w:r>
      <w:r>
        <w:rPr>
          <w:rFonts w:ascii="Times New Roman" w:cs="Times New Roman" w:eastAsia="Times New Roman" w:hAnsi="Times New Roman"/>
          <w:sz w:val="8"/>
          <w:szCs w:val="8"/>
          <w:color w:val="auto"/>
        </w:rPr>
        <w:t>i</w:t>
      </w:r>
      <w:r>
        <w:rPr>
          <w:rFonts w:ascii="Times New Roman" w:cs="Times New Roman" w:eastAsia="Times New Roman" w:hAnsi="Times New Roman"/>
          <w:sz w:val="8"/>
          <w:szCs w:val="8"/>
          <w:b w:val="1"/>
          <w:bCs w:val="1"/>
          <w:color w:val="auto"/>
        </w:rPr>
        <w:t>t</w:t>
      </w:r>
      <w:r>
        <w:rPr>
          <w:rFonts w:ascii="Times New Roman" w:cs="Times New Roman" w:eastAsia="Times New Roman" w:hAnsi="Times New Roman"/>
          <w:sz w:val="8"/>
          <w:szCs w:val="8"/>
          <w:color w:val="auto"/>
        </w:rPr>
        <w:t>oers’theoptioncompletiontopurchaseofthis</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offeradditingonal. shares to cover over-allotments, if any, and assuming</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Mr. Latimer and Dr. Norbeck do not purchase any shares of Class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AEachcommonshare ofstockour pursuantClassB commontothereservedstock isshareconvertibleprogram,intoMr.one</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7"/>
          <w:szCs w:val="7"/>
          <w:color w:val="auto"/>
        </w:rPr>
        <w:t>Latimershareof andour ClassDr.NorbeckAcommonwill beneficiallystockatany own,time atin thethe electionaggregate,of</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approximatelytheholderand will53.03%convertoftheautomaticallyvotingpoweruponofouranyoutstandingtransfer,</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7"/>
          <w:szCs w:val="7"/>
          <w:color w:val="auto"/>
        </w:rPr>
        <w:t>capitalexcept forstock.permittedAsaresult,transfers,Mr.LatimerdescribedandinDr.ourNorbeckAmendedwillCharter,have</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7"/>
          <w:szCs w:val="7"/>
          <w:color w:val="auto"/>
        </w:rPr>
        <w:t>significantincludingtransfersinfluencetooverimmediatetheoutcomefamilyofmembersmatters submitted(includingtouponour</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7"/>
          <w:szCs w:val="7"/>
          <w:color w:val="auto"/>
        </w:rPr>
        <w:t>stockholdersMr.Latimer’sforor approval,Dr.Norbeck’sincludingdeath),thetrustselection(includingofour directorsgrantor</w:t>
      </w:r>
    </w:p>
    <w:p>
      <w:pPr>
        <w:ind w:left="4000"/>
        <w:spacing w:after="0" w:line="195" w:lineRule="auto"/>
        <w:rPr>
          <w:sz w:val="20"/>
          <w:szCs w:val="20"/>
          <w:color w:val="auto"/>
        </w:rPr>
      </w:pPr>
      <w:r>
        <w:rPr>
          <w:rFonts w:ascii="Times New Roman" w:cs="Times New Roman" w:eastAsia="Times New Roman" w:hAnsi="Times New Roman"/>
          <w:sz w:val="10"/>
          <w:szCs w:val="10"/>
          <w:color w:val="auto"/>
        </w:rPr>
        <w:t>retained annuity trusts) for which the stockholder or their</w:t>
      </w:r>
    </w:p>
    <w:p>
      <w:pPr>
        <w:ind w:left="4000"/>
        <w:spacing w:after="0"/>
        <w:rPr>
          <w:sz w:val="20"/>
          <w:szCs w:val="20"/>
          <w:color w:val="auto"/>
        </w:rPr>
      </w:pPr>
      <w:r>
        <w:rPr>
          <w:rFonts w:ascii="Times New Roman" w:cs="Times New Roman" w:eastAsia="Times New Roman" w:hAnsi="Times New Roman"/>
          <w:sz w:val="14"/>
          <w:szCs w:val="14"/>
          <w:color w:val="auto"/>
        </w:rPr>
        <w:t>and the approval of any change of control transaction. These risks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areimmediatemorefullyfamilydescribedmemberin servesthesectionastrustee,titled and“Riskpartnerships,Factors.”</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Additionalcorporations,informationandother entitiescanbefoundexclusivelyinthe sectionsownedbytitledMr. Latimer</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8"/>
          <w:szCs w:val="8"/>
          <w:color w:val="auto"/>
        </w:rPr>
        <w:t>“PrincipalorDr.NorbeckStockholders”oreitherofandtheir“Descriptionimmediate offamilies,CapitalandStock.”upon the</w:t>
      </w:r>
    </w:p>
    <w:p>
      <w:pPr>
        <w:spacing w:after="0" w:line="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earliest to occur of (i) the first trading day following the seventh</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anniversary of this offering, (ii) the date on which the number of</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shares of Class A and Class B common stock beneficially owned</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by Mr. Latimer’s and Dr. Norbeck’s permitted transferees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(including shares underlying outstanding options) represents less</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than 25% of the shares of Class A and Class B common stock</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beneficially owned by Mr. Latimer and Dr. Norbeck, in the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aggregate, on the closing date of this offering, (iii) the death or</w:t>
      </w:r>
    </w:p>
    <w:p>
      <w:pPr>
        <w:ind w:left="4000"/>
        <w:spacing w:after="0" w:line="211" w:lineRule="auto"/>
        <w:rPr>
          <w:sz w:val="20"/>
          <w:szCs w:val="20"/>
          <w:color w:val="auto"/>
        </w:rPr>
      </w:pPr>
      <w:r>
        <w:rPr>
          <w:rFonts w:ascii="Times New Roman" w:cs="Times New Roman" w:eastAsia="Times New Roman" w:hAnsi="Times New Roman"/>
          <w:sz w:val="14"/>
          <w:szCs w:val="14"/>
          <w:color w:val="auto"/>
        </w:rPr>
        <w:t>disability of a Co-Founder, and (iv) the termination of a Co-</w:t>
      </w:r>
    </w:p>
    <w:p>
      <w:pPr>
        <w:ind w:left="4440"/>
        <w:spacing w:after="0" w:line="181" w:lineRule="auto"/>
        <w:rPr>
          <w:sz w:val="20"/>
          <w:szCs w:val="20"/>
          <w:color w:val="auto"/>
        </w:rPr>
      </w:pPr>
      <w:r>
        <w:rPr>
          <w:rFonts w:ascii="Times New Roman" w:cs="Times New Roman" w:eastAsia="Times New Roman" w:hAnsi="Times New Roman"/>
          <w:sz w:val="5"/>
          <w:szCs w:val="5"/>
          <w:color w:val="auto"/>
        </w:rPr>
        <w:t>28</w:t>
      </w:r>
    </w:p>
    <w:p>
      <w:pPr>
        <w:jc w:val="center"/>
        <w:ind w:right="-60"/>
        <w:spacing w:after="0"/>
        <w:rPr>
          <w:sz w:val="20"/>
          <w:szCs w:val="20"/>
          <w:color w:val="auto"/>
        </w:rPr>
      </w:pPr>
      <w:r>
        <w:rPr>
          <w:rFonts w:ascii="Times New Roman" w:cs="Times New Roman" w:eastAsia="Times New Roman" w:hAnsi="Times New Roman"/>
          <w:sz w:val="14"/>
          <w:szCs w:val="14"/>
          <w:color w:val="auto"/>
        </w:rPr>
        <w:t>Founder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6" w:right="1440" w:bottom="4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Indication of Interest </w:t>
      </w:r>
      <w:r>
        <w:rPr>
          <w:rFonts w:ascii="Times New Roman" w:cs="Times New Roman" w:eastAsia="Times New Roman" w:hAnsi="Times New Roman"/>
          <w:sz w:val="14"/>
          <w:szCs w:val="14"/>
          <w:color w:val="B4B4B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Dividend policy </w:t>
      </w:r>
      <w:r>
        <w:rPr>
          <w:rFonts w:ascii="Times New Roman" w:cs="Times New Roman" w:eastAsia="Times New Roman" w:hAnsi="Times New Roman"/>
          <w:sz w:val="14"/>
          <w:szCs w:val="14"/>
          <w:color w:val="B4B4B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Reserved share program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19"/>
        <w:spacing w:after="0" w:line="258" w:lineRule="auto"/>
        <w:rPr>
          <w:sz w:val="20"/>
          <w:szCs w:val="20"/>
          <w:color w:val="auto"/>
        </w:rPr>
      </w:pPr>
      <w:r>
        <w:rPr>
          <w:rFonts w:ascii="Times New Roman" w:cs="Times New Roman" w:eastAsia="Times New Roman" w:hAnsi="Times New Roman"/>
          <w:sz w:val="14"/>
          <w:szCs w:val="14"/>
          <w:color w:val="auto"/>
        </w:rPr>
        <w:t>Atlas Point Energy Infrastructure Fund, LLC, Norges Bank Investment Management, a division of Norges Bank, Wellington Management, and one or more funds and/or accounts managed by Capital Research Global Investors (collectively, the “Cornerstone Investors”) have, severally and not jointly, indicated an interest in purchasing up to an aggregate of $350 million in shares of our Class A common stock in this offering at the initial public offering price and on the same terms and conditions as the other purchasers in this offering. The shares of Class A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of our Class A common stock purchased by the Cornerstone Investors as they will from the other shares sold to the public in this offering.</w:t>
      </w:r>
    </w:p>
    <w:p>
      <w:pPr>
        <w:spacing w:after="0" w:line="9" w:lineRule="exact"/>
        <w:rPr>
          <w:sz w:val="20"/>
          <w:szCs w:val="20"/>
          <w:color w:val="auto"/>
        </w:rPr>
      </w:pPr>
    </w:p>
    <w:p>
      <w:pPr>
        <w:ind w:right="1219"/>
        <w:spacing w:after="0" w:line="258" w:lineRule="auto"/>
        <w:rPr>
          <w:sz w:val="20"/>
          <w:szCs w:val="20"/>
          <w:color w:val="auto"/>
        </w:rPr>
      </w:pPr>
      <w:r>
        <w:rPr>
          <w:rFonts w:ascii="Times New Roman" w:cs="Times New Roman" w:eastAsia="Times New Roman" w:hAnsi="Times New Roman"/>
          <w:sz w:val="14"/>
          <w:szCs w:val="14"/>
          <w:color w:val="auto"/>
        </w:rPr>
        <w:t>We have no current plans to pay dividends on our common stock following this offering.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Certain of our subsidiaries are party to project-level financing arrangements that contractually restrict or prioritize cash distributions before any amounts can be upstreamed to us. In addition, our ability to pay dividends is limited by the Credit Agreement, which contains negative covenants that generally prohibit us and our subsidiaries from making “Restricted Payments,” including dividends and other distributions, subject to only limited exceptions for certain subsidiary distributions that meet specified conditions, and may be limited by the agreements governing any indebtedness we or our subsidiaries may incur in the future. See “</w:t>
      </w:r>
      <w:r>
        <w:rPr>
          <w:rFonts w:ascii="Times New Roman" w:cs="Times New Roman" w:eastAsia="Times New Roman" w:hAnsi="Times New Roman"/>
          <w:sz w:val="14"/>
          <w:szCs w:val="14"/>
          <w:u w:val="single" w:color="auto"/>
          <w:color w:val="0000FF"/>
        </w:rPr>
        <w:t>Dividend Policy</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ind w:right="1199"/>
        <w:spacing w:after="0" w:line="260" w:lineRule="auto"/>
        <w:rPr>
          <w:sz w:val="20"/>
          <w:szCs w:val="20"/>
          <w:color w:val="auto"/>
        </w:rPr>
      </w:pPr>
      <w:r>
        <w:rPr>
          <w:rFonts w:ascii="Times New Roman" w:cs="Times New Roman" w:eastAsia="Times New Roman" w:hAnsi="Times New Roman"/>
          <w:sz w:val="14"/>
          <w:szCs w:val="14"/>
          <w:color w:val="auto"/>
        </w:rPr>
        <w:t>At our request, an affiliate of BofA Securities, Inc., a participating underwriter, has reserved for sale, at the initial public offering price, up to 5% of the shares of Class A common stock to be issued by us and offered by the prospectus for sale to some of our directors, officers and employees and related persons. If these persons purchase reserved shares it will reduce the number of shares available for sale to the general public. Any reserved shares that are not so purchased will be offered by the underwriters to the general public on the same basis as the other shares offered by this prospectus. See “Underwriting—Reserved Share Program.”</w:t>
      </w:r>
    </w:p>
    <w:p>
      <w:pPr>
        <w:sectPr>
          <w:pgSz w:w="11900" w:h="16838" w:orient="portrait"/>
          <w:cols w:equalWidth="0" w:num="2">
            <w:col w:w="3900" w:space="100"/>
            <w:col w:w="5019"/>
          </w:cols>
          <w:pgMar w:left="1440" w:top="146" w:right="1440" w:bottom="411" w:gutter="0" w:footer="0" w:header="0"/>
          <w:type w:val="continuous"/>
        </w:sectPr>
      </w:pPr>
    </w:p>
    <w:bookmarkStart w:id="24" w:name="page25"/>
    <w:bookmarkEnd w:id="24"/>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907" w:orient="portrait"/>
          <w:cols w:equalWidth="0" w:num="1">
            <w:col w:w="9019"/>
          </w:cols>
          <w:pgMar w:left="1440" w:top="4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Risk factors</w:t>
      </w:r>
      <w:r>
        <w:rPr>
          <w:rFonts w:ascii="Times New Roman" w:cs="Times New Roman" w:eastAsia="Times New Roman" w:hAnsi="Times New Roman"/>
          <w:sz w:val="14"/>
          <w:szCs w:val="14"/>
          <w:color w:val="B4B4B4"/>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Proposed trading symbol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79"/>
        <w:spacing w:after="0" w:line="265" w:lineRule="auto"/>
        <w:rPr>
          <w:sz w:val="20"/>
          <w:szCs w:val="20"/>
          <w:color w:val="auto"/>
        </w:rPr>
      </w:pPr>
      <w:r>
        <w:rPr>
          <w:rFonts w:ascii="Times New Roman" w:cs="Times New Roman" w:eastAsia="Times New Roman" w:hAnsi="Times New Roman"/>
          <w:sz w:val="14"/>
          <w:szCs w:val="14"/>
          <w:color w:val="auto"/>
        </w:rPr>
        <w:t>Investing in our Class A common stock involves risks. See “</w:t>
      </w:r>
      <w:r>
        <w:rPr>
          <w:rFonts w:ascii="Times New Roman" w:cs="Times New Roman" w:eastAsia="Times New Roman" w:hAnsi="Times New Roman"/>
          <w:sz w:val="14"/>
          <w:szCs w:val="14"/>
          <w:u w:val="single" w:color="auto"/>
          <w:color w:val="0000FF"/>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Factors</w:t>
      </w:r>
      <w:r>
        <w:rPr>
          <w:rFonts w:ascii="Times New Roman" w:cs="Times New Roman" w:eastAsia="Times New Roman" w:hAnsi="Times New Roman"/>
          <w:sz w:val="14"/>
          <w:szCs w:val="14"/>
          <w:color w:val="000000"/>
        </w:rPr>
        <w:t>” beginning on page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39</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 other information included in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this prospectus for a discussion of factors you should carefully consider before deciding to invest in shares of our Class A common stock.</w:t>
      </w:r>
    </w:p>
    <w:p>
      <w:pPr>
        <w:spacing w:after="0" w:line="35" w:lineRule="exact"/>
        <w:rPr>
          <w:sz w:val="20"/>
          <w:szCs w:val="20"/>
          <w:color w:val="auto"/>
        </w:rPr>
      </w:pPr>
    </w:p>
    <w:p>
      <w:pPr>
        <w:ind w:right="1319"/>
        <w:spacing w:after="0" w:line="292" w:lineRule="auto"/>
        <w:rPr>
          <w:sz w:val="20"/>
          <w:szCs w:val="20"/>
          <w:color w:val="auto"/>
        </w:rPr>
      </w:pPr>
      <w:r>
        <w:rPr>
          <w:rFonts w:ascii="Times New Roman" w:cs="Times New Roman" w:eastAsia="Times New Roman" w:hAnsi="Times New Roman"/>
          <w:sz w:val="14"/>
          <w:szCs w:val="14"/>
          <w:color w:val="auto"/>
        </w:rPr>
        <w:t>We have been approved to list our Class A common stock on the NASDAQ under the symbol “FRVO.”</w:t>
      </w:r>
    </w:p>
    <w:p>
      <w:pPr>
        <w:spacing w:after="0" w:line="134" w:lineRule="exact"/>
        <w:rPr>
          <w:sz w:val="20"/>
          <w:szCs w:val="20"/>
          <w:color w:val="auto"/>
        </w:rPr>
      </w:pPr>
    </w:p>
    <w:p>
      <w:pPr>
        <w:sectPr>
          <w:pgSz w:w="11900" w:h="16907" w:orient="portrait"/>
          <w:cols w:equalWidth="0" w:num="2">
            <w:col w:w="3900" w:space="100"/>
            <w:col w:w="5019"/>
          </w:cols>
          <w:pgMar w:left="1440" w:top="458" w:right="1440" w:bottom="0" w:gutter="0" w:footer="0" w:header="0"/>
          <w:type w:val="continuous"/>
        </w:sect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Unless otherwise stated, the total number of shares of Class A common stock and Class B common stock that will be outstanding immediately after this offering is based on 275,776,919 shares of our Class A common stock and 7,785,414 shares of our Class B common stock outstanding as of April 29, 2026, and reflects:</w:t>
      </w:r>
    </w:p>
    <w:p>
      <w:pPr>
        <w:spacing w:after="0" w:line="93" w:lineRule="exact"/>
        <w:rPr>
          <w:sz w:val="20"/>
          <w:szCs w:val="20"/>
          <w:color w:val="auto"/>
        </w:rPr>
      </w:pPr>
    </w:p>
    <w:p>
      <w:pPr>
        <w:ind w:left="1660" w:right="1319" w:hanging="249"/>
        <w:spacing w:after="0" w:line="274"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reclassification of all outstanding shares of our common stock into an equal number of shares of our Class A common stock, which will be effected upon the filing and effectiveness of our Amended Charter, which will occur immediately prior to the completion of this offering (the “Reclassification”);</w:t>
      </w:r>
    </w:p>
    <w:p>
      <w:pPr>
        <w:spacing w:after="0" w:line="92" w:lineRule="exact"/>
        <w:rPr>
          <w:rFonts w:ascii="Times New Roman" w:cs="Times New Roman" w:eastAsia="Times New Roman" w:hAnsi="Times New Roman"/>
          <w:sz w:val="14"/>
          <w:szCs w:val="14"/>
          <w:color w:val="auto"/>
        </w:rPr>
      </w:pPr>
    </w:p>
    <w:p>
      <w:pPr>
        <w:ind w:left="1660" w:right="1199" w:hanging="249"/>
        <w:spacing w:after="0" w:line="268"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automatic conversion of all outstanding shares of our Series A Preferred Stock, Series B Preferred Stock, Series C Preferred Stock, Series D Preferred Stock and Series E Preferred Stock into an aggregate of 201,428,559 shares of Class A common stock, which will be immediately prior to the completion of this offering (the “Preferred Stock Conversion”);</w:t>
      </w:r>
    </w:p>
    <w:p>
      <w:pPr>
        <w:spacing w:after="0" w:line="97" w:lineRule="exact"/>
        <w:rPr>
          <w:sz w:val="20"/>
          <w:szCs w:val="20"/>
          <w:color w:val="auto"/>
        </w:rPr>
      </w:pPr>
    </w:p>
    <w:p>
      <w:pPr>
        <w:ind w:left="1420"/>
        <w:spacing w:after="0"/>
        <w:tabs>
          <w:tab w:leader="none" w:pos="1640" w:val="left"/>
          <w:tab w:leader="none" w:pos="7260" w:val="left"/>
        </w:tabs>
        <w:rPr>
          <w:sz w:val="20"/>
          <w:szCs w:val="20"/>
          <w:color w:val="auto"/>
        </w:rPr>
      </w:pPr>
      <w:r>
        <w:rPr>
          <w:rFonts w:ascii="Times New Roman" w:cs="Times New Roman" w:eastAsia="Times New Roman" w:hAnsi="Times New Roman"/>
          <w:sz w:val="14"/>
          <w:szCs w:val="14"/>
          <w:color w:val="auto"/>
        </w:rPr>
        <w:t>•</w:t>
        <w:tab/>
        <w:t>the exchange by our Co-Founders, Tim Latimer and Jack Norbeck, PhD., of an aggregate of</w:t>
      </w:r>
      <w:r>
        <w:rPr>
          <w:sz w:val="20"/>
          <w:szCs w:val="20"/>
          <w:color w:val="auto"/>
        </w:rPr>
        <w:tab/>
      </w:r>
      <w:r>
        <w:rPr>
          <w:rFonts w:ascii="Times New Roman" w:cs="Times New Roman" w:eastAsia="Times New Roman" w:hAnsi="Times New Roman"/>
          <w:sz w:val="14"/>
          <w:szCs w:val="14"/>
          <w:color w:val="auto"/>
        </w:rPr>
        <w:t>7,785,414</w:t>
      </w:r>
    </w:p>
    <w:p>
      <w:pPr>
        <w:spacing w:after="0" w:line="25" w:lineRule="exact"/>
        <w:rPr>
          <w:sz w:val="20"/>
          <w:szCs w:val="20"/>
          <w:color w:val="auto"/>
        </w:rPr>
      </w:pPr>
    </w:p>
    <w:p>
      <w:pPr>
        <w:ind w:left="1660" w:right="1279"/>
        <w:spacing w:after="0" w:line="261" w:lineRule="auto"/>
        <w:rPr>
          <w:sz w:val="20"/>
          <w:szCs w:val="20"/>
          <w:color w:val="auto"/>
        </w:rPr>
      </w:pPr>
      <w:r>
        <w:rPr>
          <w:rFonts w:ascii="Times New Roman" w:cs="Times New Roman" w:eastAsia="Times New Roman" w:hAnsi="Times New Roman"/>
          <w:sz w:val="14"/>
          <w:szCs w:val="14"/>
          <w:color w:val="auto"/>
        </w:rPr>
        <w:t>shares of Class A common stock for an equivalent number of shares of our Class B common stock (the “Founder Share Exchange”), which will take place immediately prior to the completion of this offering pursuant to the terms of an exchange agreement between us and each of Mr. Latimer and Dr. Norbeck (the “Founder Share Exchange Agreement”);</w:t>
      </w:r>
    </w:p>
    <w:p>
      <w:pPr>
        <w:spacing w:after="0" w:line="102" w:lineRule="exact"/>
        <w:rPr>
          <w:sz w:val="20"/>
          <w:szCs w:val="20"/>
          <w:color w:val="auto"/>
        </w:rPr>
      </w:pPr>
    </w:p>
    <w:p>
      <w:pPr>
        <w:ind w:left="1420"/>
        <w:spacing w:after="0"/>
        <w:tabs>
          <w:tab w:leader="none" w:pos="1640" w:val="left"/>
          <w:tab w:leader="none" w:pos="5700" w:val="left"/>
          <w:tab w:leader="none" w:pos="6840" w:val="left"/>
        </w:tabs>
        <w:rPr>
          <w:sz w:val="20"/>
          <w:szCs w:val="20"/>
          <w:color w:val="auto"/>
        </w:rPr>
      </w:pPr>
      <w:r>
        <w:rPr>
          <w:rFonts w:ascii="Times New Roman" w:cs="Times New Roman" w:eastAsia="Times New Roman" w:hAnsi="Times New Roman"/>
          <w:sz w:val="14"/>
          <w:szCs w:val="14"/>
          <w:color w:val="auto"/>
        </w:rPr>
        <w:t>•</w:t>
        <w:tab/>
        <w:t>the exercise in full of the warrants held by Centaurus Capital LP</w:t>
      </w:r>
      <w:r>
        <w:rPr>
          <w:sz w:val="20"/>
          <w:szCs w:val="20"/>
          <w:color w:val="auto"/>
        </w:rPr>
        <w:tab/>
      </w:r>
      <w:r>
        <w:rPr>
          <w:rFonts w:ascii="Times New Roman" w:cs="Times New Roman" w:eastAsia="Times New Roman" w:hAnsi="Times New Roman"/>
          <w:sz w:val="14"/>
          <w:szCs w:val="14"/>
          <w:color w:val="auto"/>
        </w:rPr>
        <w:t>to purchase up to</w:t>
        <w:tab/>
        <w:t>3,550,329 s hares</w:t>
      </w:r>
    </w:p>
    <w:p>
      <w:pPr>
        <w:spacing w:after="0" w:line="25" w:lineRule="exact"/>
        <w:rPr>
          <w:sz w:val="20"/>
          <w:szCs w:val="20"/>
          <w:color w:val="auto"/>
        </w:rPr>
      </w:pPr>
    </w:p>
    <w:p>
      <w:pPr>
        <w:ind w:left="1660" w:right="1459"/>
        <w:spacing w:after="0" w:line="272" w:lineRule="auto"/>
        <w:rPr>
          <w:sz w:val="20"/>
          <w:szCs w:val="20"/>
          <w:color w:val="auto"/>
        </w:rPr>
      </w:pPr>
      <w:r>
        <w:rPr>
          <w:rFonts w:ascii="Times New Roman" w:cs="Times New Roman" w:eastAsia="Times New Roman" w:hAnsi="Times New Roman"/>
          <w:sz w:val="14"/>
          <w:szCs w:val="14"/>
          <w:color w:val="auto"/>
        </w:rPr>
        <w:t>immediately prior to the completion of this offering, with the resulting preferred shares converting into shares of Class A common stock in connection with the Preferred Stock Conversion;</w:t>
      </w:r>
    </w:p>
    <w:p>
      <w:pPr>
        <w:spacing w:after="0" w:line="94" w:lineRule="exact"/>
        <w:rPr>
          <w:sz w:val="20"/>
          <w:szCs w:val="20"/>
          <w:color w:val="auto"/>
        </w:rPr>
      </w:pPr>
    </w:p>
    <w:p>
      <w:pPr>
        <w:ind w:left="1660" w:hanging="249"/>
        <w:spacing w:after="0"/>
        <w:tabs>
          <w:tab w:leader="none" w:pos="1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outstanding stock options or warrants subsequent to April 29, 2026;</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Split.</w:t>
      </w:r>
    </w:p>
    <w:p>
      <w:pPr>
        <w:spacing w:after="0" w:line="140" w:lineRule="exact"/>
        <w:rPr>
          <w:sz w:val="20"/>
          <w:szCs w:val="20"/>
          <w:color w:val="auto"/>
        </w:rPr>
      </w:pPr>
    </w:p>
    <w:p>
      <w:pPr>
        <w:ind w:left="1660" w:right="1219" w:hanging="239"/>
        <w:spacing w:after="0" w:line="292" w:lineRule="auto"/>
        <w:tabs>
          <w:tab w:leader="none" w:pos="1640" w:val="left"/>
        </w:tabs>
        <w:rPr>
          <w:sz w:val="20"/>
          <w:szCs w:val="20"/>
          <w:color w:val="auto"/>
        </w:rPr>
      </w:pPr>
      <w:r>
        <w:rPr>
          <w:rFonts w:ascii="Times New Roman" w:cs="Times New Roman" w:eastAsia="Times New Roman" w:hAnsi="Times New Roman"/>
          <w:sz w:val="14"/>
          <w:szCs w:val="14"/>
          <w:color w:val="auto"/>
        </w:rPr>
        <w:t>•</w:t>
        <w:tab/>
        <w:t>no exercise by the underwriters of their option to purchase up to 10,500,000 additional shares of Class A common stock from us; and</w:t>
      </w:r>
    </w:p>
    <w:p>
      <w:pPr>
        <w:spacing w:after="0" w:line="81" w:lineRule="exact"/>
        <w:rPr>
          <w:sz w:val="20"/>
          <w:szCs w:val="20"/>
          <w:color w:val="auto"/>
        </w:rPr>
      </w:pPr>
    </w:p>
    <w:p>
      <w:pPr>
        <w:ind w:left="1660" w:right="1199" w:hanging="249"/>
        <w:spacing w:after="0" w:line="292"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public offering price of $27.00 per share of Class A common stock, which is the price set forth on the cover page of this prospectus.</w:t>
      </w:r>
    </w:p>
    <w:p>
      <w:pPr>
        <w:spacing w:after="0" w:line="8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Following the completion of this offering, and pursuant to an equity award exchange right agreement (the “Equity Award Exchange Agreement”) to be entered into between us, Mr. Latimer and Dr. Norbeck, each of our Co-Founders will have a right to require us to exchange any shares of Class A common stock received upon the exercise of stock options granted under our 2019 Plan and outstanding prior to the date of effectiveness of the registration statement of which this prospectus forms a part, for an equivalent number of shares of Class B common stock. This includes an aggregate of 20,269,508 shares underlying outstanding options held by Mr. Latimer and Dr. Norbeck. The Equity Award Exchange Agreement does not cover any equity awards granted to Mr. Latimer and Dr. Norbeck in connection with or following the completion of this offering.</w:t>
      </w:r>
    </w:p>
    <w:p>
      <w:pPr>
        <w:spacing w:after="0" w:line="103"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connection with the completion of this offering, we will cease granting awards under the 2019 Plan. Our 2026 Plan and ESPP also provide for automatic annual increases in the number of shares reserved thereunder, which are not reflected in the numbers above. See the section titled “Executive and Director Compensation—Equity Incentive Award Plans” for additional information.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Unless otherwise stated, the total number of shares of Class A common stock and Class B common stock that will be outstanding immediately after this offering, and after giving effect to the Preferred Stock Conversion, the Founder Share Exchange, the Reclassification and the Stock Split, excludes:</w:t>
      </w:r>
    </w:p>
    <w:p>
      <w:pPr>
        <w:spacing w:after="0" w:line="93" w:lineRule="exact"/>
        <w:rPr>
          <w:sz w:val="20"/>
          <w:szCs w:val="20"/>
          <w:color w:val="auto"/>
        </w:rPr>
      </w:pPr>
    </w:p>
    <w:p>
      <w:pPr>
        <w:ind w:left="1420"/>
        <w:spacing w:after="0"/>
        <w:tabs>
          <w:tab w:leader="none" w:pos="1640" w:val="left"/>
          <w:tab w:leader="none" w:pos="6300" w:val="left"/>
        </w:tabs>
        <w:rPr>
          <w:sz w:val="20"/>
          <w:szCs w:val="20"/>
          <w:color w:val="auto"/>
        </w:rPr>
      </w:pPr>
      <w:r>
        <w:rPr>
          <w:rFonts w:ascii="Times New Roman" w:cs="Times New Roman" w:eastAsia="Times New Roman" w:hAnsi="Times New Roman"/>
          <w:sz w:val="14"/>
          <w:szCs w:val="14"/>
          <w:color w:val="auto"/>
        </w:rPr>
        <w:t>•</w:t>
        <w:tab/>
        <w:t>45,047,677 shares (or 32,407,298 shares, after giving effect to the Stock Split)</w:t>
        <w:tab/>
        <w:t>of Clas s A common stock</w:t>
      </w:r>
    </w:p>
    <w:p>
      <w:pPr>
        <w:spacing w:after="0" w:line="25" w:lineRule="exact"/>
        <w:rPr>
          <w:sz w:val="20"/>
          <w:szCs w:val="20"/>
          <w:color w:val="auto"/>
        </w:rPr>
      </w:pPr>
    </w:p>
    <w:p>
      <w:pPr>
        <w:ind w:left="1660"/>
        <w:spacing w:after="0"/>
        <w:tabs>
          <w:tab w:leader="none" w:pos="5160" w:val="left"/>
        </w:tabs>
        <w:rPr>
          <w:sz w:val="20"/>
          <w:szCs w:val="20"/>
          <w:color w:val="auto"/>
        </w:rPr>
      </w:pPr>
      <w:r>
        <w:rPr>
          <w:rFonts w:ascii="Times New Roman" w:cs="Times New Roman" w:eastAsia="Times New Roman" w:hAnsi="Times New Roman"/>
          <w:sz w:val="14"/>
          <w:szCs w:val="14"/>
          <w:color w:val="auto"/>
        </w:rPr>
        <w:t>issuable upon exercise of stock options outstanding as of</w:t>
      </w:r>
      <w:r>
        <w:rPr>
          <w:sz w:val="20"/>
          <w:szCs w:val="20"/>
          <w:color w:val="auto"/>
        </w:rPr>
        <w:tab/>
      </w:r>
      <w:r>
        <w:rPr>
          <w:rFonts w:ascii="Times New Roman" w:cs="Times New Roman" w:eastAsia="Times New Roman" w:hAnsi="Times New Roman"/>
          <w:sz w:val="14"/>
          <w:szCs w:val="14"/>
          <w:color w:val="auto"/>
        </w:rPr>
        <w:t>April 29 , 2026 under our 2019 Plan, with a</w:t>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weighted average exercise price of $1.75 per share (or $2.43 per share, after giving effect to the Stock</w:t>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Split); and</w:t>
      </w:r>
    </w:p>
    <w:p>
      <w:pPr>
        <w:spacing w:after="0" w:line="126" w:lineRule="exact"/>
        <w:rPr>
          <w:sz w:val="20"/>
          <w:szCs w:val="20"/>
          <w:color w:val="auto"/>
        </w:rPr>
      </w:pPr>
    </w:p>
    <w:p>
      <w:pPr>
        <w:ind w:left="1660" w:right="1219" w:hanging="249"/>
        <w:spacing w:after="0" w:line="292" w:lineRule="auto"/>
        <w:tabs>
          <w:tab w:leader="none" w:pos="1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40,778,984 shares of Class A common stock and Class B common stock reserved for future issuance under our equity compensation plans, consisting of:</w:t>
      </w:r>
    </w:p>
    <w:p>
      <w:pPr>
        <w:spacing w:after="0" w:line="80" w:lineRule="exact"/>
        <w:rPr>
          <w:rFonts w:ascii="Times New Roman" w:cs="Times New Roman" w:eastAsia="Times New Roman" w:hAnsi="Times New Roman"/>
          <w:sz w:val="14"/>
          <w:szCs w:val="14"/>
          <w:color w:val="auto"/>
        </w:rPr>
      </w:pPr>
    </w:p>
    <w:p>
      <w:pPr>
        <w:ind w:left="1920" w:right="1199" w:hanging="251"/>
        <w:spacing w:after="0" w:line="268" w:lineRule="auto"/>
        <w:tabs>
          <w:tab w:leader="none" w:pos="19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35,107,737 shares of Class A common stock and Class B common stock reserved for future issuance under the 2026 Plan, which became effective in connection with this offering, as well as any automatic increases in the number of shares of Class A common stock and Class B common stock reserved for future issuance under the 2026 Plan; and</w:t>
      </w:r>
    </w:p>
    <w:p>
      <w:pPr>
        <w:spacing w:after="0" w:line="97"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5,671,247 shares of Class A common stock reserved for future issuance under the ESPP, which</w:t>
      </w:r>
    </w:p>
    <w:p>
      <w:pPr>
        <w:sectPr>
          <w:pgSz w:w="11900" w:h="16907" w:orient="portrait"/>
          <w:cols w:equalWidth="0" w:num="1">
            <w:col w:w="9019"/>
          </w:cols>
          <w:pgMar w:left="1440" w:top="458" w:right="1440" w:bottom="0" w:gutter="0" w:footer="0" w:header="0"/>
          <w:type w:val="continuous"/>
        </w:sectPr>
      </w:pPr>
    </w:p>
    <w:bookmarkStart w:id="25" w:name="page26"/>
    <w:bookmarkEnd w:id="25"/>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920" w:right="1259"/>
        <w:spacing w:after="0" w:line="292" w:lineRule="auto"/>
        <w:rPr>
          <w:sz w:val="20"/>
          <w:szCs w:val="20"/>
          <w:color w:val="auto"/>
        </w:rPr>
      </w:pPr>
      <w:r>
        <w:rPr>
          <w:rFonts w:ascii="Times New Roman" w:cs="Times New Roman" w:eastAsia="Times New Roman" w:hAnsi="Times New Roman"/>
          <w:sz w:val="14"/>
          <w:szCs w:val="14"/>
          <w:color w:val="auto"/>
        </w:rPr>
        <w:t>became effective in connection with this offering, as well as any automatic increases in the number of shares of Class A common stock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SUMMARY CONSOLIDATED FINANCIAL AND OTHER DATA</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following tables present the summary consolidated financial and other data for Fervo Energy and its subsidiaries. We have derived the summary Consolidated Statements of Operations data for the years ended December 31, 2025 and 2024 and the summary Consolidated Balance Sheet data as of December 31, 2025 from our audited consolidated financial statements and the related notes thereto included elsewhere in this prospectus. You</w:t>
      </w:r>
    </w:p>
    <w:p>
      <w:pPr>
        <w:spacing w:after="0" w:line="1" w:lineRule="exact"/>
        <w:rPr>
          <w:sz w:val="20"/>
          <w:szCs w:val="20"/>
          <w:color w:val="auto"/>
        </w:rPr>
      </w:pPr>
    </w:p>
    <w:p>
      <w:pPr>
        <w:ind w:left="1160" w:right="1239"/>
        <w:spacing w:after="0" w:line="261" w:lineRule="auto"/>
        <w:rPr>
          <w:sz w:val="20"/>
          <w:szCs w:val="20"/>
          <w:color w:val="auto"/>
        </w:rPr>
      </w:pPr>
      <w:r>
        <w:rPr>
          <w:rFonts w:ascii="Times New Roman" w:cs="Times New Roman" w:eastAsia="Times New Roman" w:hAnsi="Times New Roman"/>
          <w:sz w:val="14"/>
          <w:szCs w:val="14"/>
          <w:color w:val="auto"/>
        </w:rPr>
        <w:t xml:space="preserve">should read this data together with our consolidated financial statements and related notes thereto included elsewhere in this prospectus and the section titled “ </w:t>
      </w:r>
      <w:r>
        <w:rPr>
          <w:rFonts w:ascii="Times New Roman" w:cs="Times New Roman" w:eastAsia="Times New Roman" w:hAnsi="Times New Roman"/>
          <w:sz w:val="14"/>
          <w:szCs w:val="14"/>
          <w:u w:val="single" w:color="auto"/>
          <w:color w:val="0000FF"/>
        </w:rPr>
        <w:t>Management’s Discussion and Analysis of Financial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and Results of Operations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Our historical results for any prior period are not necessarily indicative of the results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that may be expected in the future.</w:t>
      </w:r>
    </w:p>
    <w:p>
      <w:pPr>
        <w:spacing w:after="0" w:line="323"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3"/>
                <w:szCs w:val="13"/>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Operation and maintenance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Research and development income, net</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38,718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expenses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9,681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loss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(41,838)</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4,192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non-operating expense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Loss before income taxes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(41,054)</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Income tax expense</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c>
          <w:tcPr>
            <w:tcW w:w="0" w:type="dxa"/>
            <w:vAlign w:val="bottom"/>
          </w:tcPr>
          <w:p>
            <w:pPr>
              <w:spacing w:after="0"/>
              <w:rPr>
                <w:sz w:val="1"/>
                <w:szCs w:val="1"/>
                <w:color w:val="auto"/>
              </w:rPr>
            </w:pPr>
          </w:p>
        </w:tc>
      </w:tr>
      <w:tr>
        <w:trPr>
          <w:trHeight w:val="430"/>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c>
          <w:tcPr>
            <w:tcW w:w="0" w:type="dxa"/>
            <w:vAlign w:val="bottom"/>
          </w:tcPr>
          <w:p>
            <w:pPr>
              <w:spacing w:after="0"/>
              <w:rPr>
                <w:sz w:val="1"/>
                <w:szCs w:val="1"/>
                <w:color w:val="auto"/>
              </w:rPr>
            </w:pP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Less: Remeasurement of redeemable noncontrolling interest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attributable to common shares, basic and diluted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c>
          <w:tcPr>
            <w:tcW w:w="0" w:type="dxa"/>
            <w:vAlign w:val="bottom"/>
          </w:tcPr>
          <w:p>
            <w:pPr>
              <w:spacing w:after="0"/>
              <w:rPr>
                <w:sz w:val="1"/>
                <w:szCs w:val="1"/>
                <w:color w:val="auto"/>
              </w:rPr>
            </w:pP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shares, basic and diluted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12,462</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0" w:type="dxa"/>
            <w:vAlign w:val="bottom"/>
          </w:tcPr>
          <w:p>
            <w:pPr>
              <w:spacing w:after="0"/>
              <w:rPr>
                <w:sz w:val="1"/>
                <w:szCs w:val="1"/>
                <w:color w:val="auto"/>
              </w:rPr>
            </w:pPr>
          </w:p>
        </w:tc>
      </w:tr>
      <w:tr>
        <w:trPr>
          <w:trHeight w:val="201"/>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per share attributable to common stockholders, basic and diluted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4"/>
        </w:trPr>
        <w:tc>
          <w:tcPr>
            <w:tcW w:w="47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Weighted-average shares used in computing adjusted net income per share, basic</w:t>
            </w:r>
          </w:p>
        </w:tc>
        <w:tc>
          <w:tcPr>
            <w:tcW w:w="2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212,948</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212,931</w:t>
            </w:r>
          </w:p>
        </w:tc>
        <w:tc>
          <w:tcPr>
            <w:tcW w:w="0" w:type="dxa"/>
            <w:vAlign w:val="bottom"/>
          </w:tcPr>
          <w:p>
            <w:pPr>
              <w:spacing w:after="0"/>
              <w:rPr>
                <w:sz w:val="1"/>
                <w:szCs w:val="1"/>
                <w:color w:val="auto"/>
              </w:rPr>
            </w:pPr>
          </w:p>
        </w:tc>
      </w:tr>
      <w:tr>
        <w:trPr>
          <w:trHeight w:val="208"/>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and diluted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Adjusted net loss per share, basic and diluted</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3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cash used in operating activities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(54,748)</w:t>
            </w:r>
          </w:p>
        </w:tc>
        <w:tc>
          <w:tcPr>
            <w:tcW w:w="0" w:type="dxa"/>
            <w:vAlign w:val="bottom"/>
          </w:tcPr>
          <w:p>
            <w:pPr>
              <w:spacing w:after="0"/>
              <w:rPr>
                <w:sz w:val="1"/>
                <w:szCs w:val="1"/>
                <w:color w:val="auto"/>
              </w:rPr>
            </w:pPr>
          </w:p>
        </w:tc>
      </w:tr>
    </w:tbl>
    <w:p>
      <w:pPr>
        <w:sectPr>
          <w:pgSz w:w="11900" w:h="16931" w:orient="portrait"/>
          <w:cols w:equalWidth="0" w:num="1">
            <w:col w:w="9019"/>
          </w:cols>
          <w:pgMar w:left="1440" w:top="146" w:right="1440" w:bottom="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26"/>
        </w:trPr>
        <w:tc>
          <w:tcPr>
            <w:tcW w:w="4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64"/>
        </w:trPr>
        <w:tc>
          <w:tcPr>
            <w:tcW w:w="4740" w:type="dxa"/>
            <w:vAlign w:val="bottom"/>
          </w:tcPr>
          <w:p>
            <w:pPr>
              <w:spacing w:after="0" w:line="65" w:lineRule="exact"/>
              <w:rPr>
                <w:sz w:val="20"/>
                <w:szCs w:val="20"/>
                <w:color w:val="auto"/>
              </w:rPr>
            </w:pPr>
            <w:r>
              <w:rPr>
                <w:rFonts w:ascii="Times New Roman" w:cs="Times New Roman" w:eastAsia="Times New Roman" w:hAnsi="Times New Roman"/>
                <w:sz w:val="7"/>
                <w:szCs w:val="7"/>
                <w:color w:val="auto"/>
              </w:rPr>
              <w:t xml:space="preserve">Net cash used in investing activities </w:t>
            </w:r>
            <w:r>
              <w:rPr>
                <w:rFonts w:ascii="Times New Roman" w:cs="Times New Roman" w:eastAsia="Times New Roman" w:hAnsi="Times New Roman"/>
                <w:sz w:val="7"/>
                <w:szCs w:val="7"/>
                <w:color w:val="B4B4B4"/>
              </w:rPr>
              <w:t>.........................................................................</w:t>
            </w:r>
          </w:p>
        </w:tc>
        <w:tc>
          <w:tcPr>
            <w:tcW w:w="220" w:type="dxa"/>
            <w:vAlign w:val="bottom"/>
          </w:tcPr>
          <w:p>
            <w:pPr>
              <w:jc w:val="right"/>
              <w:ind w:right="46"/>
              <w:spacing w:after="0" w:line="65"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jc w:val="right"/>
              <w:spacing w:after="0" w:line="65" w:lineRule="exact"/>
              <w:rPr>
                <w:sz w:val="20"/>
                <w:szCs w:val="20"/>
                <w:color w:val="auto"/>
              </w:rPr>
            </w:pPr>
            <w:r>
              <w:rPr>
                <w:rFonts w:ascii="Times New Roman" w:cs="Times New Roman" w:eastAsia="Times New Roman" w:hAnsi="Times New Roman"/>
                <w:sz w:val="7"/>
                <w:szCs w:val="7"/>
                <w:color w:val="auto"/>
              </w:rPr>
              <w:t>(465,659)</w:t>
            </w:r>
          </w:p>
        </w:tc>
        <w:tc>
          <w:tcPr>
            <w:tcW w:w="260" w:type="dxa"/>
            <w:vAlign w:val="bottom"/>
          </w:tcPr>
          <w:p>
            <w:pPr>
              <w:jc w:val="right"/>
              <w:ind w:right="86"/>
              <w:spacing w:after="0" w:line="65"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tcPr>
          <w:p>
            <w:pPr>
              <w:jc w:val="right"/>
              <w:spacing w:after="0" w:line="65" w:lineRule="exact"/>
              <w:rPr>
                <w:sz w:val="20"/>
                <w:szCs w:val="20"/>
                <w:color w:val="auto"/>
              </w:rPr>
            </w:pPr>
            <w:r>
              <w:rPr>
                <w:rFonts w:ascii="Times New Roman" w:cs="Times New Roman" w:eastAsia="Times New Roman" w:hAnsi="Times New Roman"/>
                <w:sz w:val="7"/>
                <w:szCs w:val="7"/>
                <w:color w:val="auto"/>
              </w:rPr>
              <w:t>(178,693)</w:t>
            </w:r>
          </w:p>
        </w:tc>
      </w:tr>
      <w:tr>
        <w:trPr>
          <w:trHeight w:val="107"/>
        </w:trPr>
        <w:tc>
          <w:tcPr>
            <w:tcW w:w="474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(In thousands, except share and per share data)</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Netcashprovidedbyfinancingactivities</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765,824</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403,754</w:t>
            </w:r>
          </w:p>
        </w:tc>
      </w:tr>
    </w:tbl>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w:t>
      </w:r>
    </w:p>
    <w:p>
      <w:pPr>
        <w:spacing w:after="0" w:line="14" w:lineRule="exact"/>
        <w:rPr>
          <w:sz w:val="20"/>
          <w:szCs w:val="20"/>
          <w:color w:val="auto"/>
        </w:rPr>
      </w:pPr>
    </w:p>
    <w:p>
      <w:pPr>
        <w:ind w:left="1420" w:right="1239" w:hanging="267"/>
        <w:spacing w:after="0" w:line="270" w:lineRule="auto"/>
        <w:tabs>
          <w:tab w:leader="none" w:pos="142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adjusted net income (loss) per share, basic and diluted, gives effect to the Stock Split, the Preferred Stock Conversion, as if the Preferred Stock Conversion had occurred on January 1, 2024, resulting in 201,428,559 additional shares of Class A common stock, as well as the exercise in full of the warrants held by Centaurus, as if the warrant exercise had occurred on January 1, 2024, resulting in 2,554,106 additional shares of Class A common stock.</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686"/>
        </w:trPr>
        <w:tc>
          <w:tcPr>
            <w:tcW w:w="560" w:type="dxa"/>
            <w:vAlign w:val="bottom"/>
            <w:tcBorders>
              <w:right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8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6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(In thousands, except share and per share data)</w:t>
            </w:r>
          </w:p>
        </w:tc>
        <w:tc>
          <w:tcPr>
            <w:tcW w:w="22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2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As Adjusted </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9"/>
                <w:szCs w:val="9"/>
                <w:color w:val="auto"/>
              </w:rPr>
            </w:pPr>
          </w:p>
        </w:tc>
        <w:tc>
          <w:tcPr>
            <w:tcW w:w="1340" w:type="dxa"/>
            <w:vAlign w:val="bottom"/>
            <w:tcBorders>
              <w:right w:val="single" w:sz="8" w:color="auto"/>
            </w:tcBorders>
            <w:gridSpan w:val="2"/>
          </w:tcPr>
          <w:p>
            <w:pPr>
              <w:jc w:val="center"/>
              <w:ind w:right="640"/>
              <w:spacing w:after="0" w:line="114" w:lineRule="exact"/>
              <w:rPr>
                <w:sz w:val="20"/>
                <w:szCs w:val="20"/>
                <w:color w:val="auto"/>
              </w:rPr>
            </w:pPr>
            <w:r>
              <w:rPr>
                <w:rFonts w:ascii="Times New Roman" w:cs="Times New Roman" w:eastAsia="Times New Roman" w:hAnsi="Times New Roman"/>
                <w:sz w:val="11"/>
                <w:szCs w:val="11"/>
                <w:b w:val="1"/>
                <w:bCs w:val="1"/>
                <w:color w:val="auto"/>
              </w:rPr>
              <w:t>As Further</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6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7"/>
                <w:szCs w:val="7"/>
                <w:b w:val="1"/>
                <w:bCs w:val="1"/>
                <w:color w:val="auto"/>
              </w:rPr>
              <w:t>(2)(3)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80" w:type="dxa"/>
            <w:vAlign w:val="bottom"/>
          </w:tcPr>
          <w:p>
            <w:pPr>
              <w:jc w:val="right"/>
              <w:ind w:right="15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461,836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$481,209</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2,248,595</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Grant receivables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 xml:space="preserve">Prepaid expenses and other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Totalcurrentassets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482,130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501,503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2,268,889</w:t>
            </w: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0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 xml:space="preserve">Deposits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Construction-in-process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789,571</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leases right of use assets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58,713</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Other long-term assets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13,520</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13,520</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13,520</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Totalassets</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1,365,168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1,384,541</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3,151,927</w:t>
            </w: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capital expenditures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current liabilities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16,997</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Totalcurrentliabilities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151,911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151,911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151,911</w:t>
            </w:r>
          </w:p>
        </w:tc>
        <w:tc>
          <w:tcPr>
            <w:tcW w:w="5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Long-term debt, net of issuance costs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182,452</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72,639</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long-term liabilities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Totalliabilities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408,794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408,195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408,195</w:t>
            </w:r>
          </w:p>
        </w:tc>
        <w:tc>
          <w:tcPr>
            <w:tcW w:w="5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Commitments and Contingencies (Note 21)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220"/>
              <w:spacing w:after="0" w:line="140" w:lineRule="exact"/>
              <w:rPr>
                <w:sz w:val="20"/>
                <w:szCs w:val="20"/>
                <w:color w:val="auto"/>
              </w:rPr>
            </w:pPr>
            <w:r>
              <w:rPr>
                <w:rFonts w:ascii="Times New Roman" w:cs="Times New Roman" w:eastAsia="Times New Roman" w:hAnsi="Times New Roman"/>
                <w:sz w:val="14"/>
                <w:szCs w:val="14"/>
                <w:color w:val="auto"/>
              </w:rPr>
              <w:t>Redeemable convertible preferred stock, par value $0.0001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0" w:lineRule="exact"/>
              <w:rPr>
                <w:sz w:val="20"/>
                <w:szCs w:val="20"/>
                <w:color w:val="auto"/>
              </w:rPr>
            </w:pPr>
            <w:r>
              <w:rPr>
                <w:rFonts w:ascii="Times New Roman" w:cs="Times New Roman" w:eastAsia="Times New Roman" w:hAnsi="Times New Roman"/>
                <w:sz w:val="14"/>
                <w:szCs w:val="14"/>
                <w:color w:val="auto"/>
              </w:rPr>
              <w:t>per share; 283,545,547 authorized; 279,995,218 issued 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no shares issued 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4" w:lineRule="exact"/>
              <w:rPr>
                <w:sz w:val="20"/>
                <w:szCs w:val="20"/>
                <w:color w:val="auto"/>
              </w:rPr>
            </w:pPr>
            <w:r>
              <w:rPr>
                <w:rFonts w:ascii="Times New Roman" w:cs="Times New Roman" w:eastAsia="Times New Roman" w:hAnsi="Times New Roman"/>
                <w:sz w:val="14"/>
                <w:szCs w:val="14"/>
                <w:color w:val="auto"/>
              </w:rPr>
              <w:t>outstanding on an as adjusted basis, no shares issued and</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1,022,942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tcBorders>
              <w:right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outstanding on an as further adjusted basis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right w:val="single" w:sz="8" w:color="auto"/>
            </w:tcBorders>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Cape Phase I HoldCo - Redeemable noncontrolling interest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Cape Phase I Intermediate HoldCo - Redeemable</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noncontrolling interest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par value $0.0001 per share; 358,278,774</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authorized; 13,145,979 issued and outstanding as of</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220"/>
              <w:spacing w:after="0" w:line="140" w:lineRule="exact"/>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0" w:lineRule="exact"/>
              <w:rPr>
                <w:sz w:val="20"/>
                <w:szCs w:val="20"/>
                <w:color w:val="auto"/>
              </w:rPr>
            </w:pPr>
            <w:r>
              <w:rPr>
                <w:rFonts w:ascii="Times New Roman" w:cs="Times New Roman" w:eastAsia="Times New Roman" w:hAnsi="Times New Roman"/>
                <w:sz w:val="14"/>
                <w:szCs w:val="14"/>
                <w:color w:val="auto"/>
              </w:rPr>
              <w:t>1,000,000,000 shares authorized, no shares issued 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205,776,919 shares issued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auto"/>
              </w:rPr>
              <w:t>and outstanding on an as adjusted basis, 275,776,919 shares</w:t>
            </w:r>
          </w:p>
        </w:tc>
        <w:tc>
          <w:tcPr>
            <w:tcW w:w="2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5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issued and outstanding on an as further adjusted basis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560" w:type="dxa"/>
            <w:vAlign w:val="bottom"/>
            <w:tcBorders>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60" w:type="dxa"/>
            <w:vAlign w:val="bottom"/>
            <w:gridSpan w:val="5"/>
          </w:tcPr>
          <w:p>
            <w:pPr>
              <w:jc w:val="right"/>
              <w:ind w:right="308"/>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6"/>
        </w:trPr>
        <w:tc>
          <w:tcPr>
            <w:tcW w:w="560" w:type="dxa"/>
            <w:vAlign w:val="bottom"/>
            <w:tcBorders>
              <w:bottom w:val="single" w:sz="8" w:color="CCCCCC"/>
            </w:tcBorders>
          </w:tcPr>
          <w:p>
            <w:pPr>
              <w:spacing w:after="0"/>
              <w:rPr>
                <w:sz w:val="24"/>
                <w:szCs w:val="24"/>
                <w:color w:val="auto"/>
              </w:rPr>
            </w:pPr>
          </w:p>
        </w:tc>
        <w:tc>
          <w:tcPr>
            <w:tcW w:w="500" w:type="dxa"/>
            <w:vAlign w:val="bottom"/>
            <w:tcBorders>
              <w:bottom w:val="single" w:sz="8" w:color="CCCCCC"/>
            </w:tcBorders>
          </w:tcPr>
          <w:p>
            <w:pPr>
              <w:spacing w:after="0"/>
              <w:rPr>
                <w:sz w:val="24"/>
                <w:szCs w:val="24"/>
                <w:color w:val="auto"/>
              </w:rPr>
            </w:pPr>
          </w:p>
        </w:tc>
        <w:tc>
          <w:tcPr>
            <w:tcW w:w="500" w:type="dxa"/>
            <w:vAlign w:val="bottom"/>
            <w:tcBorders>
              <w:bottom w:val="single" w:sz="8" w:color="CCCCCC"/>
            </w:tcBorders>
          </w:tcPr>
          <w:p>
            <w:pPr>
              <w:spacing w:after="0"/>
              <w:rPr>
                <w:sz w:val="24"/>
                <w:szCs w:val="24"/>
                <w:color w:val="auto"/>
              </w:rPr>
            </w:pPr>
          </w:p>
        </w:tc>
        <w:tc>
          <w:tcPr>
            <w:tcW w:w="520" w:type="dxa"/>
            <w:vAlign w:val="bottom"/>
            <w:tcBorders>
              <w:bottom w:val="single" w:sz="8" w:color="CCCCCC"/>
            </w:tcBorders>
          </w:tcPr>
          <w:p>
            <w:pPr>
              <w:spacing w:after="0"/>
              <w:rPr>
                <w:sz w:val="24"/>
                <w:szCs w:val="24"/>
                <w:color w:val="auto"/>
              </w:rPr>
            </w:pPr>
          </w:p>
        </w:tc>
        <w:tc>
          <w:tcPr>
            <w:tcW w:w="278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7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520" w:type="dxa"/>
            <w:vAlign w:val="bottom"/>
            <w:tcBorders>
              <w:bottom w:val="single" w:sz="8" w:color="CCCCCC"/>
            </w:tcBorders>
          </w:tcPr>
          <w:p>
            <w:pPr>
              <w:spacing w:after="0"/>
              <w:rPr>
                <w:sz w:val="24"/>
                <w:szCs w:val="24"/>
                <w:color w:val="auto"/>
              </w:rPr>
            </w:pPr>
          </w:p>
        </w:tc>
        <w:tc>
          <w:tcPr>
            <w:tcW w:w="5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6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520" w:type="dxa"/>
            <w:vAlign w:val="bottom"/>
            <w:tcBorders>
              <w:bottom w:val="single" w:sz="8" w:color="CCCCCC"/>
            </w:tcBorders>
          </w:tcPr>
          <w:p>
            <w:pPr>
              <w:spacing w:after="0"/>
              <w:rPr>
                <w:sz w:val="8"/>
                <w:szCs w:val="8"/>
                <w:color w:val="auto"/>
              </w:rPr>
            </w:pPr>
          </w:p>
        </w:tc>
        <w:tc>
          <w:tcPr>
            <w:tcW w:w="278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spacing w:after="0"/>
              <w:rPr>
                <w:sz w:val="8"/>
                <w:szCs w:val="8"/>
                <w:color w:val="auto"/>
              </w:rPr>
            </w:pPr>
          </w:p>
        </w:tc>
        <w:tc>
          <w:tcPr>
            <w:tcW w:w="520" w:type="dxa"/>
            <w:vAlign w:val="bottom"/>
            <w:tcBorders>
              <w:bottom w:val="single" w:sz="8" w:color="CCCCCC"/>
            </w:tcBorders>
          </w:tcPr>
          <w:p>
            <w:pPr>
              <w:spacing w:after="0"/>
              <w:rPr>
                <w:sz w:val="8"/>
                <w:szCs w:val="8"/>
                <w:color w:val="auto"/>
              </w:rPr>
            </w:pPr>
          </w:p>
        </w:tc>
        <w:tc>
          <w:tcPr>
            <w:tcW w:w="52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top w:val="single" w:sz="8" w:color="0000FF"/>
              <w:bottom w:val="single" w:sz="8" w:color="auto"/>
            </w:tcBorders>
          </w:tcPr>
          <w:p>
            <w:pPr>
              <w:spacing w:after="0"/>
              <w:rPr>
                <w:sz w:val="16"/>
                <w:szCs w:val="16"/>
                <w:color w:val="auto"/>
              </w:rPr>
            </w:pPr>
          </w:p>
        </w:tc>
        <w:tc>
          <w:tcPr>
            <w:tcW w:w="520" w:type="dxa"/>
            <w:vAlign w:val="bottom"/>
            <w:tcBorders>
              <w:top w:val="single" w:sz="8" w:color="0000FF"/>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9"/>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(In thousands, except share and per share data)</w:t>
            </w:r>
          </w:p>
        </w:tc>
        <w:tc>
          <w:tcPr>
            <w:tcW w:w="220" w:type="dxa"/>
            <w:vAlign w:val="bottom"/>
          </w:tcPr>
          <w:p>
            <w:pPr>
              <w:spacing w:after="0"/>
              <w:rPr>
                <w:sz w:val="24"/>
                <w:szCs w:val="24"/>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20" w:type="dxa"/>
            <w:vAlign w:val="bottom"/>
          </w:tcPr>
          <w:p>
            <w:pPr>
              <w:spacing w:after="0"/>
              <w:rPr>
                <w:sz w:val="24"/>
                <w:szCs w:val="24"/>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As Adjusted </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24"/>
                <w:szCs w:val="24"/>
                <w:color w:val="auto"/>
              </w:rPr>
            </w:pPr>
          </w:p>
        </w:tc>
        <w:tc>
          <w:tcPr>
            <w:tcW w:w="1860" w:type="dxa"/>
            <w:vAlign w:val="bottom"/>
            <w:gridSpan w:val="3"/>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As Further</w:t>
            </w: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Class B common stock, par value $0.0001 per share: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0" w:lineRule="exact"/>
              <w:rPr>
                <w:sz w:val="20"/>
                <w:szCs w:val="20"/>
                <w:color w:val="auto"/>
              </w:rPr>
            </w:pPr>
            <w:r>
              <w:rPr>
                <w:rFonts w:ascii="Times New Roman" w:cs="Times New Roman" w:eastAsia="Times New Roman" w:hAnsi="Times New Roman"/>
                <w:sz w:val="14"/>
                <w:szCs w:val="14"/>
                <w:color w:val="auto"/>
              </w:rPr>
              <w:t>40,000,000 shares authorized, no shares issued 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7,785,414 shares issued 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0" w:type="dxa"/>
            <w:vAlign w:val="bottom"/>
            <w:gridSpan w:val="3"/>
          </w:tcPr>
          <w:p>
            <w:pPr>
              <w:ind w:left="340"/>
              <w:spacing w:after="0" w:line="144" w:lineRule="exact"/>
              <w:rPr>
                <w:sz w:val="20"/>
                <w:szCs w:val="20"/>
                <w:color w:val="auto"/>
              </w:rPr>
            </w:pPr>
            <w:r>
              <w:rPr>
                <w:rFonts w:ascii="Times New Roman" w:cs="Times New Roman" w:eastAsia="Times New Roman" w:hAnsi="Times New Roman"/>
                <w:sz w:val="14"/>
                <w:szCs w:val="14"/>
                <w:color w:val="auto"/>
              </w:rPr>
              <w:t>outstanding on an as adjusted basis, 7,785,414 shares</w:t>
            </w:r>
          </w:p>
        </w:tc>
        <w:tc>
          <w:tcPr>
            <w:tcW w:w="2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issued and outstanding on an as further adjusted basis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4"/>
          <w:szCs w:val="14"/>
          <w:color w:val="auto"/>
        </w:rPr>
        <w:t>Preferred stock, par value $0.0001 per share: no shares</w:t>
      </w:r>
    </w:p>
    <w:p>
      <w:pPr>
        <w:jc w:val="right"/>
        <w:ind w:right="4539"/>
        <w:spacing w:after="0"/>
        <w:rPr>
          <w:sz w:val="20"/>
          <w:szCs w:val="20"/>
          <w:color w:val="auto"/>
        </w:rPr>
      </w:pPr>
      <w:r>
        <w:rPr>
          <w:rFonts w:ascii="Times New Roman" w:cs="Times New Roman" w:eastAsia="Times New Roman" w:hAnsi="Times New Roman"/>
          <w:sz w:val="14"/>
          <w:szCs w:val="14"/>
          <w:color w:val="auto"/>
        </w:rPr>
        <w:t>authorized on an actual basis and 10,000,000 shares</w:t>
      </w:r>
    </w:p>
    <w:p>
      <w:pPr>
        <w:sectPr>
          <w:pgSz w:w="11900" w:h="16858" w:orient="portrait"/>
          <w:cols w:equalWidth="0" w:num="1">
            <w:col w:w="9019"/>
          </w:cols>
          <w:pgMar w:left="1440" w:top="142" w:right="1440" w:bottom="0" w:gutter="0" w:footer="0" w:header="0"/>
        </w:sectPr>
      </w:pPr>
    </w:p>
    <w:bookmarkStart w:id="27" w:name="page28"/>
    <w:bookmarkEnd w:id="27"/>
    <w:tbl>
      <w:tblPr>
        <w:tblLayout w:type="fixed"/>
        <w:tblInd w:w="1160" w:type="dxa"/>
        <w:tblCellMar>
          <w:top w:w="0" w:type="dxa"/>
          <w:left w:w="0" w:type="dxa"/>
          <w:bottom w:w="0" w:type="dxa"/>
          <w:right w:w="0" w:type="dxa"/>
        </w:tblCellMar>
      </w:tblPr>
      <w:tr>
        <w:trPr>
          <w:trHeight w:val="175"/>
        </w:trPr>
        <w:tc>
          <w:tcPr>
            <w:tcW w:w="3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authorized on an adjusted basis and no shares outstanding</w:t>
            </w:r>
          </w:p>
        </w:tc>
        <w:tc>
          <w:tcPr>
            <w:tcW w:w="2160" w:type="dxa"/>
            <w:vAlign w:val="bottom"/>
            <w:gridSpan w:val="6"/>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0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 xml:space="preserve">on an actual or as further adjusted basis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Additional paid-in capital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1,089,921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2,860,874</w:t>
            </w: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ind w:left="220"/>
              <w:spacing w:after="0" w:line="154" w:lineRule="exact"/>
              <w:rPr>
                <w:sz w:val="20"/>
                <w:szCs w:val="20"/>
                <w:color w:val="auto"/>
              </w:rPr>
            </w:pPr>
            <w:r>
              <w:rPr>
                <w:rFonts w:ascii="Times New Roman" w:cs="Times New Roman" w:eastAsia="Times New Roman" w:hAnsi="Times New Roman"/>
                <w:sz w:val="14"/>
                <w:szCs w:val="14"/>
                <w:color w:val="auto"/>
              </w:rPr>
              <w:t>Treasury stock, at cost; 375,448 shares on an actual basis, and</w:t>
            </w: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no shares on an as adjusted basis or an as further adjusted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basis </w:t>
            </w:r>
            <w:r>
              <w:rPr>
                <w:rFonts w:ascii="Times New Roman" w:cs="Times New Roman" w:eastAsia="Times New Roman" w:hAnsi="Times New Roman"/>
                <w:sz w:val="14"/>
                <w:szCs w:val="14"/>
                <w:color w:val="B4B4B4"/>
              </w:rPr>
              <w:t>.......................................................................................</w:t>
            </w:r>
          </w:p>
        </w:tc>
        <w:tc>
          <w:tcPr>
            <w:tcW w:w="9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Accumulated deficit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(244,539)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(293,527)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(297,101)</w:t>
            </w:r>
          </w:p>
        </w:tc>
        <w:tc>
          <w:tcPr>
            <w:tcW w:w="0" w:type="dxa"/>
            <w:vAlign w:val="bottom"/>
          </w:tcPr>
          <w:p>
            <w:pPr>
              <w:spacing w:after="0"/>
              <w:rPr>
                <w:sz w:val="1"/>
                <w:szCs w:val="1"/>
                <w:color w:val="auto"/>
              </w:rPr>
            </w:pPr>
          </w:p>
        </w:tc>
      </w:tr>
      <w:tr>
        <w:trPr>
          <w:trHeight w:val="65"/>
        </w:trPr>
        <w:tc>
          <w:tcPr>
            <w:tcW w:w="38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80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rPr>
              <w:t xml:space="preserve">Total stockholders’ (deficit) equity </w:t>
            </w:r>
            <w:r>
              <w:rPr>
                <w:rFonts w:ascii="Times New Roman" w:cs="Times New Roman" w:eastAsia="Times New Roman" w:hAnsi="Times New Roman"/>
                <w:sz w:val="14"/>
                <w:szCs w:val="14"/>
                <w:color w:val="B4B4B4"/>
              </w:rPr>
              <w:t>........................................</w:t>
            </w: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(246,498)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796,416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2,563,802</w:t>
            </w:r>
          </w:p>
        </w:tc>
        <w:tc>
          <w:tcPr>
            <w:tcW w:w="0" w:type="dxa"/>
            <w:vAlign w:val="bottom"/>
          </w:tcPr>
          <w:p>
            <w:pPr>
              <w:spacing w:after="0"/>
              <w:rPr>
                <w:sz w:val="1"/>
                <w:szCs w:val="1"/>
                <w:color w:val="auto"/>
              </w:rPr>
            </w:pPr>
          </w:p>
        </w:tc>
      </w:tr>
      <w:tr>
        <w:trPr>
          <w:trHeight w:val="150"/>
        </w:trPr>
        <w:tc>
          <w:tcPr>
            <w:tcW w:w="380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color w:val="auto"/>
              </w:rPr>
              <w:t>Total liabilities, redeemable convertible preferred stock,</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340"/>
              <w:spacing w:after="0" w:line="144" w:lineRule="exact"/>
              <w:rPr>
                <w:sz w:val="20"/>
                <w:szCs w:val="20"/>
                <w:color w:val="auto"/>
              </w:rPr>
            </w:pPr>
            <w:r>
              <w:rPr>
                <w:rFonts w:ascii="Times New Roman" w:cs="Times New Roman" w:eastAsia="Times New Roman" w:hAnsi="Times New Roman"/>
                <w:sz w:val="14"/>
                <w:szCs w:val="14"/>
                <w:color w:val="auto"/>
              </w:rPr>
              <w:t>redeemable noncontrolling interests and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1,365,168</w:t>
            </w:r>
          </w:p>
        </w:tc>
        <w:tc>
          <w:tcPr>
            <w:tcW w:w="40" w:type="dxa"/>
            <w:vAlign w:val="bottom"/>
          </w:tcPr>
          <w:p>
            <w:pPr>
              <w:spacing w:after="0"/>
              <w:rPr>
                <w:sz w:val="12"/>
                <w:szCs w:val="12"/>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1,384,541</w:t>
            </w:r>
          </w:p>
        </w:tc>
        <w:tc>
          <w:tcPr>
            <w:tcW w:w="4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3,151,927</w:t>
            </w:r>
          </w:p>
        </w:tc>
        <w:tc>
          <w:tcPr>
            <w:tcW w:w="0" w:type="dxa"/>
            <w:vAlign w:val="bottom"/>
          </w:tcPr>
          <w:p>
            <w:pPr>
              <w:spacing w:after="0"/>
              <w:rPr>
                <w:sz w:val="1"/>
                <w:szCs w:val="1"/>
                <w:color w:val="auto"/>
              </w:rPr>
            </w:pPr>
          </w:p>
        </w:tc>
      </w:tr>
      <w:tr>
        <w:trPr>
          <w:trHeight w:val="186"/>
        </w:trPr>
        <w:tc>
          <w:tcPr>
            <w:tcW w:w="3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stockholders’ (deficit) equity </w:t>
            </w:r>
            <w:r>
              <w:rPr>
                <w:rFonts w:ascii="Times New Roman" w:cs="Times New Roman" w:eastAsia="Times New Roman" w:hAnsi="Times New Roman"/>
                <w:sz w:val="14"/>
                <w:szCs w:val="14"/>
                <w:color w:val="B4B4B4"/>
              </w:rPr>
              <w:t>................................................</w:t>
            </w: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-1174115</wp:posOffset>
            </wp:positionV>
            <wp:extent cx="716026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660" w:hanging="249"/>
        <w:spacing w:after="0"/>
        <w:tabs>
          <w:tab w:leader="none" w:pos="16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adjusted consolidated balance sheet data as of December 31, 2025 presents our consolidated balance sheet data to give effect to</w:t>
      </w:r>
    </w:p>
    <w:p>
      <w:pPr>
        <w:spacing w:after="0" w:line="9" w:lineRule="exact"/>
        <w:rPr>
          <w:rFonts w:ascii="Times New Roman" w:cs="Times New Roman" w:eastAsia="Times New Roman" w:hAnsi="Times New Roman"/>
          <w:sz w:val="11"/>
          <w:szCs w:val="11"/>
          <w:color w:val="auto"/>
        </w:rPr>
      </w:pPr>
    </w:p>
    <w:p>
      <w:pPr>
        <w:ind w:left="1660" w:right="1319"/>
        <w:spacing w:after="0" w:line="26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 the Stock Split, (ii) the Preferred Stock Conversion, (iii) the Reclassification, (iv) the Founder Share Exchange, (v) the filing and effectiveness of our Amended Charter, (vi) the exercise in full of the warrants held by Centaurus and (vii) borrowings under the Project Granite Facility and the repayment of the XRC Facility, in each case as if such event had occurred on December 31, 2025.</w:t>
      </w:r>
    </w:p>
    <w:p>
      <w:pPr>
        <w:spacing w:after="0" w:line="1" w:lineRule="exact"/>
        <w:rPr>
          <w:rFonts w:ascii="Times New Roman" w:cs="Times New Roman" w:eastAsia="Times New Roman" w:hAnsi="Times New Roman"/>
          <w:sz w:val="11"/>
          <w:szCs w:val="11"/>
          <w:color w:val="auto"/>
        </w:rPr>
      </w:pPr>
    </w:p>
    <w:p>
      <w:pPr>
        <w:ind w:left="1660" w:right="1179" w:hanging="249"/>
        <w:spacing w:after="0" w:line="259" w:lineRule="auto"/>
        <w:tabs>
          <w:tab w:leader="none" w:pos="16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further adjusted consolidated balance sheet data reflects the items described in footnote (1) above and gives effect to our receipt of estimated net proceeds from the sale of shares of Class A common st</w:t>
      </w:r>
      <w:r>
        <w:rPr>
          <w:rFonts w:ascii="Times New Roman" w:cs="Times New Roman" w:eastAsia="Times New Roman" w:hAnsi="Times New Roman"/>
          <w:sz w:val="11"/>
          <w:szCs w:val="11"/>
          <w:color w:val="auto"/>
          <w:strike w:val="1"/>
        </w:rPr>
        <w:t>ock that we are offer</w:t>
      </w:r>
      <w:r>
        <w:rPr>
          <w:rFonts w:ascii="Times New Roman" w:cs="Times New Roman" w:eastAsia="Times New Roman" w:hAnsi="Times New Roman"/>
          <w:sz w:val="11"/>
          <w:szCs w:val="11"/>
          <w:color w:val="auto"/>
        </w:rPr>
        <w:t>i</w:t>
      </w:r>
      <w:r>
        <w:rPr>
          <w:rFonts w:ascii="Times New Roman" w:cs="Times New Roman" w:eastAsia="Times New Roman" w:hAnsi="Times New Roman"/>
          <w:sz w:val="11"/>
          <w:szCs w:val="11"/>
          <w:color w:val="auto"/>
          <w:strike w:val="1"/>
        </w:rPr>
        <w:t>ng by this prospectus</w:t>
      </w:r>
      <w:r>
        <w:rPr>
          <w:rFonts w:ascii="Times New Roman" w:cs="Times New Roman" w:eastAsia="Times New Roman" w:hAnsi="Times New Roman"/>
          <w:sz w:val="11"/>
          <w:szCs w:val="11"/>
          <w:color w:val="auto"/>
        </w:rPr>
        <w:t xml:space="preserve"> at the initial public offering price of $27.00 per share, which is the price on the cover page </w:t>
      </w:r>
      <w:r>
        <w:rPr>
          <w:rFonts w:ascii="Times New Roman" w:cs="Times New Roman" w:eastAsia="Times New Roman" w:hAnsi="Times New Roman"/>
          <w:sz w:val="11"/>
          <w:szCs w:val="11"/>
          <w:u w:val="single" w:color="auto"/>
          <w:color w:val="auto"/>
        </w:rPr>
        <w:t>of this prospectus, af</w:t>
      </w:r>
      <w:r>
        <w:rPr>
          <w:rFonts w:ascii="Times New Roman" w:cs="Times New Roman" w:eastAsia="Times New Roman" w:hAnsi="Times New Roman"/>
          <w:sz w:val="11"/>
          <w:szCs w:val="11"/>
          <w:color w:val="auto"/>
        </w:rPr>
        <w:t>t</w:t>
      </w:r>
      <w:r>
        <w:rPr>
          <w:rFonts w:ascii="Times New Roman" w:cs="Times New Roman" w:eastAsia="Times New Roman" w:hAnsi="Times New Roman"/>
          <w:sz w:val="11"/>
          <w:szCs w:val="11"/>
          <w:u w:val="single" w:color="auto"/>
          <w:color w:val="auto"/>
        </w:rPr>
        <w:t>er deducting the esti</w:t>
      </w:r>
      <w:r>
        <w:rPr>
          <w:rFonts w:ascii="Times New Roman" w:cs="Times New Roman" w:eastAsia="Times New Roman" w:hAnsi="Times New Roman"/>
          <w:sz w:val="11"/>
          <w:szCs w:val="11"/>
          <w:color w:val="auto"/>
        </w:rPr>
        <w:t>mated underwriting discounts and commissions and estimated offering expenses payable by us.</w:t>
      </w:r>
    </w:p>
    <w:p>
      <w:pPr>
        <w:spacing w:after="0" w:line="1" w:lineRule="exact"/>
        <w:rPr>
          <w:rFonts w:ascii="Times New Roman" w:cs="Times New Roman" w:eastAsia="Times New Roman" w:hAnsi="Times New Roman"/>
          <w:sz w:val="11"/>
          <w:szCs w:val="11"/>
          <w:color w:val="auto"/>
        </w:rPr>
      </w:pPr>
    </w:p>
    <w:p>
      <w:pPr>
        <w:ind w:left="1660" w:right="1259" w:hanging="249"/>
        <w:spacing w:after="0" w:line="258" w:lineRule="auto"/>
        <w:tabs>
          <w:tab w:leader="none" w:pos="16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further adjusted data discussed above is illustrative only and has been adjusted based on the actual initial public offering price and other terms of our initial public offering determined at pricing.</w:t>
      </w:r>
    </w:p>
    <w:p>
      <w:pPr>
        <w:ind w:left="1660" w:right="1259" w:hanging="249"/>
        <w:spacing w:after="0" w:line="269" w:lineRule="auto"/>
        <w:tabs>
          <w:tab w:leader="none" w:pos="16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April 14, 2026, the XRC Facility was paid off with the proceeds f</w:t>
      </w:r>
      <w:r>
        <w:rPr>
          <w:rFonts w:ascii="Times New Roman" w:cs="Times New Roman" w:eastAsia="Times New Roman" w:hAnsi="Times New Roman"/>
          <w:sz w:val="11"/>
          <w:szCs w:val="11"/>
          <w:color w:val="auto"/>
          <w:strike w:val="1"/>
        </w:rPr>
        <w:t>rom the Project Gran</w:t>
      </w:r>
      <w:r>
        <w:rPr>
          <w:rFonts w:ascii="Times New Roman" w:cs="Times New Roman" w:eastAsia="Times New Roman" w:hAnsi="Times New Roman"/>
          <w:sz w:val="11"/>
          <w:szCs w:val="11"/>
          <w:color w:val="auto"/>
        </w:rPr>
        <w:t>i</w:t>
      </w:r>
      <w:r>
        <w:rPr>
          <w:rFonts w:ascii="Times New Roman" w:cs="Times New Roman" w:eastAsia="Times New Roman" w:hAnsi="Times New Roman"/>
          <w:sz w:val="11"/>
          <w:szCs w:val="11"/>
          <w:color w:val="auto"/>
          <w:strike w:val="1"/>
        </w:rPr>
        <w:t>te Facility. Our Proj</w:t>
      </w:r>
      <w:r>
        <w:rPr>
          <w:rFonts w:ascii="Times New Roman" w:cs="Times New Roman" w:eastAsia="Times New Roman" w:hAnsi="Times New Roman"/>
          <w:sz w:val="11"/>
          <w:szCs w:val="11"/>
          <w:color w:val="auto"/>
        </w:rPr>
        <w:t>ect Granite Facility has a total capacity of $421.4 million. As of April 29, 2026, we also had an aggregate of $64.0 million of borrowings outstanding under the Credit Facility. Our Credit Facility has a total capacity of $180.0 million which consists of the term loan facility and letters of credit facility. See "Management's Discussion and Analysis of Financial Condition and Results of Operations—Liquidity and Capital Resources—Mercuria Credit Agreement and Letter of Credit Agreement" for a further description of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This prospectus contains estimates, projections and information concerning our industry, our business and the market size and growth rates of the markets in which we participate. Some data and statistical and other information are based on independent reports from third parties, as well as industry and general publications and research, surveys and studies conducted by third parties which we have not independently verified. Some data and statistical and other information are based on internal estimates and calculations that are derived from publicly available information, research we conducted, internal surveys, our management’s knowledge of our industry and their assumptions based on such information and knowledge, which we believe to be reasonable.</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each case, this information and data involves a number of assumptions and limitations, and you are cautioned not to give undue weight to such information, estimates or projections. Industry publications and other reports we have obtained from independent parties may state that the data contained in these publications or other reports have been obtained in good faith or from sources considered to be reliable, but they do not guarantee the accuracy or completeness of such data. In addition, projections, assumptions and estimates of the future performance of the industry in which we operate and our future performance are necessarily subject to a high degree of uncertainty and</w:t>
      </w:r>
    </w:p>
    <w:p>
      <w:pPr>
        <w:spacing w:after="0" w:line="2" w:lineRule="exact"/>
        <w:rPr>
          <w:sz w:val="20"/>
          <w:szCs w:val="20"/>
          <w:color w:val="auto"/>
        </w:rPr>
      </w:pPr>
    </w:p>
    <w:p>
      <w:pPr>
        <w:jc w:val="both"/>
        <w:ind w:left="1160" w:right="1199"/>
        <w:spacing w:after="0" w:line="264" w:lineRule="auto"/>
        <w:rPr>
          <w:sz w:val="20"/>
          <w:szCs w:val="20"/>
          <w:color w:val="auto"/>
        </w:rPr>
      </w:pPr>
      <w:r>
        <w:rPr>
          <w:rFonts w:ascii="Times New Roman" w:cs="Times New Roman" w:eastAsia="Times New Roman" w:hAnsi="Times New Roman"/>
          <w:sz w:val="14"/>
          <w:szCs w:val="14"/>
          <w:color w:val="auto"/>
        </w:rPr>
        <w:t xml:space="preserve">risk due to a variety of factors, including those described in “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xml:space="preserve"> ” and “ </w:t>
      </w:r>
      <w:r>
        <w:rPr>
          <w:rFonts w:ascii="Times New Roman" w:cs="Times New Roman" w:eastAsia="Times New Roman" w:hAnsi="Times New Roman"/>
          <w:sz w:val="14"/>
          <w:szCs w:val="14"/>
          <w:u w:val="single" w:color="auto"/>
          <w:color w:val="0000FF"/>
        </w:rPr>
        <w:t>Cautionary Note Regarding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Forward-Looking Statements</w:t>
      </w:r>
      <w:r>
        <w:rPr>
          <w:rFonts w:ascii="Times New Roman" w:cs="Times New Roman" w:eastAsia="Times New Roman" w:hAnsi="Times New Roman"/>
          <w:sz w:val="14"/>
          <w:szCs w:val="14"/>
          <w:color w:val="000000"/>
        </w:rPr>
        <w:t>.” These and other factors could cause our future performance to differ materially from</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the assumptions and estimates made by third parties and us.</w:t>
      </w:r>
    </w:p>
    <w:p>
      <w:pPr>
        <w:sectPr>
          <w:pgSz w:w="11900" w:h="16838" w:orient="portrait"/>
          <w:cols w:equalWidth="0" w:num="1">
            <w:col w:w="9019"/>
          </w:cols>
          <w:pgMar w:left="1440" w:top="94"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ESTIMATES OF CAPACITY POTENTIAL</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present in this prospectus certain estimates of capacity potential (represented as megawatts or gigawatts). These estimates are based on the underlying geothermal resource potential of our sites, as represented by a measure of thermal energy we refer to as heat initially in place (“HIIP”), the estimated electrical power capacity into which such HIIP may be converted, and the thermal recovery factor of this thermal energy. HIIP is the total thermal energy estimated to be contained in place within the rock and pore fluid in a defined subsurface volume as of a given date, before accounting for any recovery of heat to the wellhead or conversion to electricity. To produce estimates of capacity potential, a thermal recovery factor is applied to the HIIP estimates.</w:t>
      </w:r>
    </w:p>
    <w:p>
      <w:pPr>
        <w:spacing w:after="0" w:line="101"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For Cape Station, an independent engineering consulting firm, DeGolyer and MacNaughton (“D&amp;M”), prepared HIIP estimates using geologic, thermal, and geomechanical models and probabilistic methods, as described further in its report dated June 30, 2024 thereon included as an exhibit to the registration statement of which this prospectus forms a part. To produce our estimate of capacity potential, we further adjust the HIIP estimates by applying a thermal recovery factor. We assume a thermal recovery factor of 30.5%, which is estimated using a variety of methods, including computational reservoir simulation, decline curve analysis, case studies from reservoir analogs, and literature review. The applied thermal recovery factor reflects the portion of HIIP we believe can be practically extracted to the wellhead and converted to electricity over the assumed project life. In determining this factor, we consider reservoir temperature and thickness, fracture surface area and connectivity achieved through stimulation, expected sustainable flow rates and pressure management, thermal drawdown over time, operating constraints (including induced seismicity, water balance, and reinjection), and surface conversion efficiency (including ORC performance and parasitic loads). We believe the resulting recovery factor is reasonable because it is grounded in engineering judgment informed by our empirical data (including results from Project Red), field-calibrated geologic, thermal, and geomechanical models at Cape Station, and sensitivity analyses across well spacing, flow, and temperature assumptions. This approach is consistent with practices used in analogous resource assessments in other industries and incorporates conservative assumptions intended to reflect long-term sustainable operations rather than peak or short-duration output.</w:t>
      </w:r>
    </w:p>
    <w:p>
      <w:pPr>
        <w:spacing w:after="0" w:line="108"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For the nine GeoClusters reviewed subsequent to Cape Station, which include Corsac, Blanford, Marble, Kit, Star, Fennec, Cross, Swift and Aspen, D&amp;M has utilized their own thermal recovery factors which are factored into their estimates of capacity potential.</w:t>
      </w:r>
    </w:p>
    <w:p>
      <w:pPr>
        <w:spacing w:after="0" w:line="9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estimates referred to above are subject to important limitations and uncertainties. All or any part of such estimates may change as further heat production history and additional information become available. Application of any risk factor or discount rate to HIIP should not be considered as a means of comparing such estimates to measures of proved reserves, and you should not assume that all or any portion of the HIIP estimates will be recovered or converted to electricity on an economic basis or at all. The quantities of heat that might actually be recovered, and the quantities of associated produced electricity should such geothermal resources be developed, may differ significantly from the HIIP estimates produced by D&amp;M. For additional information regarding risks inherent in our estimates of our geothermal resource, see “Risk Factors—Risks Related to Our Business—Our estimates of geothermal resources and associated power capacity potential are inherently uncertain, do not consider technological, commercial or economic viability, and should not be viewed as a measure of reserves prepared under SEC guidelines or as a measure of estimated future production or generation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ectPr>
          <w:pgSz w:w="11900" w:h="16838" w:orient="portrait"/>
          <w:cols w:equalWidth="0" w:num="1">
            <w:col w:w="9019"/>
          </w:cols>
          <w:pgMar w:left="1440" w:top="1440" w:right="1440" w:bottom="0" w:gutter="0" w:footer="0" w:header="0"/>
          <w:type w:val="continuous"/>
        </w:sectPr>
      </w:pPr>
    </w:p>
    <w:bookmarkStart w:id="29" w:name="page30"/>
    <w:bookmarkEnd w:id="29"/>
    <w:p>
      <w:pPr>
        <w:ind w:left="1160" w:right="1179" w:firstLine="258"/>
        <w:spacing w:after="0" w:line="241" w:lineRule="auto"/>
        <w:rPr>
          <w:sz w:val="20"/>
          <w:szCs w:val="20"/>
          <w:color w:val="auto"/>
        </w:rPr>
      </w:pPr>
      <w:r>
        <w:rPr>
          <w:rFonts w:ascii="Times New Roman" w:cs="Times New Roman" w:eastAsia="Times New Roman" w:hAnsi="Times New Roman"/>
          <w:sz w:val="14"/>
          <w:szCs w:val="14"/>
          <w:color w:val="auto"/>
        </w:rPr>
        <w:t>This prospectus contains forward-looking statements about us and our industry that involve substantial risks and uncertainties. All statements other than statements of historical facts contained in this prospectus,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-175260</wp:posOffset>
            </wp:positionV>
            <wp:extent cx="716026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statements regarding our future results of operations or financial condition, business strategy, and plans and objectives of management for future operations may be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Forward-looking statements contained in this prospectus include, but are not limited to statements about:</w:t>
      </w:r>
    </w:p>
    <w:p>
      <w:pPr>
        <w:spacing w:after="0" w:line="104" w:lineRule="exact"/>
        <w:rPr>
          <w:sz w:val="20"/>
          <w:szCs w:val="20"/>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expanding our geothermal operations and accessing new markets;</w:t>
      </w:r>
    </w:p>
    <w:p>
      <w:pPr>
        <w:spacing w:after="0" w:line="139" w:lineRule="exact"/>
        <w:rPr>
          <w:rFonts w:ascii="Times New Roman" w:cs="Times New Roman" w:eastAsia="Times New Roman" w:hAnsi="Times New Roman"/>
          <w:sz w:val="14"/>
          <w:szCs w:val="14"/>
          <w:color w:val="auto"/>
        </w:rPr>
      </w:pPr>
    </w:p>
    <w:p>
      <w:pPr>
        <w:ind w:left="1660" w:right="189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maintaining compliance with extensive environmental regulations and permitting requirements;</w:t>
      </w:r>
    </w:p>
    <w:p>
      <w:pPr>
        <w:spacing w:after="0" w:line="80"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in forecasting future operational results and growth due to economic conditions and market demand;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environmental regulations and climate change initiatives impacting operational costs;</w:t>
      </w:r>
    </w:p>
    <w:p>
      <w:pPr>
        <w:spacing w:after="0" w:line="139"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risks in the geothermal industry, including potential operational disruptions and associated liabilities;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influence of consumer preferences, government policies, and competition on the demand for geothermal energy;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fluctuations in energy prices and material costs;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a complex supply chain and successful maintenance of our geothermal infrastructure;</w:t>
      </w:r>
    </w:p>
    <w:p>
      <w:pPr>
        <w:spacing w:after="0" w:line="139"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performance influenced by fluctuations in interest rates, capital availability, and other market conditions;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actually constructed or for which we enter PPAs under non-binding agreements, like the GFA;</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legal proceedings and claims arising from our business operations;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protecting our brand reputation and facing potential negative public perception;</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 perception and political opposition impacting our ability to secure regulatory approvals and market acceptance;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and timely execution of our growth strategy, with risks of delays or failures;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key personnel and the potential impact of labor costs and workforce challenges;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heavy reliance on technology systems and potential cybersecurity threats;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and political conditions affecting our operations, supply chain, and customer demand;</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estimates of capacity potential and HIIP are inaccurate or that we are unable to produce quantities of electrical energy commensurate with such estimates;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this prospectus, including those set forth under “Risk Factors.”</w:t>
      </w:r>
    </w:p>
    <w:p>
      <w:pPr>
        <w:spacing w:after="0" w:line="140" w:lineRule="exact"/>
        <w:rPr>
          <w:sz w:val="20"/>
          <w:szCs w:val="20"/>
          <w:color w:val="auto"/>
        </w:rPr>
      </w:pPr>
    </w:p>
    <w:p>
      <w:pPr>
        <w:jc w:val="center"/>
        <w:ind w:left="1160" w:right="1299"/>
        <w:spacing w:after="0" w:line="274" w:lineRule="auto"/>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prospectus. The forward-looking statements in this prospectus are only predictions. We have based these forward-looking statements largely on our current expectations and projections about future events and financial trends that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 xml:space="preserve">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xml:space="preserve"> .” Because forward-looking statements are inherently subject to risks and uncertainties, some of which cannot be predicted or quantified, you should not rely on these forward-looking statements as predictions of future events.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events and circumstances reflected in our forward-looking statements may not be achieved or occur and actual results could differ materially from those projected in the forward-looking statements.</w:t>
      </w:r>
    </w:p>
    <w:p>
      <w:pPr>
        <w:spacing w:after="0" w:line="108"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1"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0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ectPr>
          <w:pgSz w:w="11900" w:h="16838" w:orient="portrait"/>
          <w:cols w:equalWidth="0" w:num="1">
            <w:col w:w="9019"/>
          </w:cols>
          <w:pgMar w:left="1440" w:top="94" w:right="1440" w:bottom="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0"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and read the following risk factors, together with all of the other information contained in this prospectus, including the section titled “Management’s Discussion and Analysis of Financial Condition and Results of Operations” and our consolidated financial statements and related notes thereto, before deciding to invest in our Class A common stock. The risks described below are not the only ones we face. Our business, financial condition, and/or results of operations could be materially and adversely affected by any of these risks or uncertainties, as well as by risks or uncertainties not currently known to us, or that we do not currently believe are material. In such case, the trading price of our Class A common stock could decline, and you may lose some or all of your investment.</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38"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will require significant additional capital to construct and complete our projects, and we may not be able to secure such financing on time with acceptable terms, or at all, which could cause delays in our construction, lead to inadequate liquidity and increase overall costs.</w:t>
      </w:r>
    </w:p>
    <w:p>
      <w:pPr>
        <w:spacing w:after="0" w:line="91" w:lineRule="exact"/>
        <w:rPr>
          <w:sz w:val="20"/>
          <w:szCs w:val="20"/>
          <w:color w:val="auto"/>
        </w:rPr>
      </w:pPr>
    </w:p>
    <w:p>
      <w:pPr>
        <w:ind w:left="1160" w:right="1179" w:firstLine="258"/>
        <w:spacing w:after="0" w:line="174" w:lineRule="exact"/>
        <w:rPr>
          <w:sz w:val="20"/>
          <w:szCs w:val="20"/>
          <w:color w:val="auto"/>
        </w:rPr>
      </w:pPr>
      <w:r>
        <w:rPr>
          <w:rFonts w:ascii="Times New Roman" w:cs="Times New Roman" w:eastAsia="Times New Roman" w:hAnsi="Times New Roman"/>
          <w:sz w:val="14"/>
          <w:szCs w:val="14"/>
          <w:color w:val="auto"/>
        </w:rPr>
        <w:t>The capital expenditures we expect to incur as we complete the development of our future projects will be significant, including wellfield drilling and completions for EGS reservoirs and procurement of binary, air-cooled ORC power plants. Our standardized modular approach contemplates deployment across GeoClusters via 50-megawatt GeoBlocks, and our estimate of capital expenditures to construct a single GeoBlock was approximately $7,000/kW as of December 31, 2025 , inclusive of wellfield, surface facilities and plant equipment. We currently estimate capital expenditures of approximately $1.2 billion in 2026, of which approximately $125 million relates to our Cape Station Phase I. In addition, we estimate capital expenditures of $940 million related to our Cape Station Phase II, a majority of which remains unfunded. Although we currently hold certain federal approvals that have already undergone National Environmental Policy Act (NEPA) review covering approximately 2 gigawatts of capacity potential, a portion of these capital expenditures (including exploration, geophysical surveys, test and delineation wells, stimulation, and other reservoir development activities) must be incurred before we obtain, or can finalize, certain material permits, land use authorizations, and approvals that are outside the scope of NEPA review, including site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well permits (e.g., drilling, injection and production well permits), water rights and related authorizations, and state and local permits and approvals (such as land use, building, grading, cultural and environmental, and air and noise permits). As of April 17, 2026, 78 out of 80 permits of the governmental permits and approvals necessary to commence commercial operations at Cape Station Phase I have been received, and the remaining two necessary permits are in process. Moreover, 81 out of 179 permits of the governmental permits and approvals necessary to commence commercial operations at Cape Station Phase II have been received, and the remaining 98 are in process. Of those in-process approvals and permits, all are individual, administrative geothermal well permits or administrative county permits, and we do not currently expect any material delays, conditions or denials with respect to any of these pending permits. If any such permits or approvals are delayed, impose burdensome conditions, or are not granted, the investments we make ahead of permitting may be stranded, impaired, or require redesign, leading to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offs, additional costs, and schedule slippage.</w:t>
      </w:r>
    </w:p>
    <w:p>
      <w:pPr>
        <w:spacing w:after="0" w:line="101" w:lineRule="exact"/>
        <w:rPr>
          <w:sz w:val="20"/>
          <w:szCs w:val="20"/>
          <w:color w:val="auto"/>
        </w:rPr>
      </w:pPr>
    </w:p>
    <w:p>
      <w:pPr>
        <w:ind w:left="1160" w:right="1179" w:firstLine="258"/>
        <w:spacing w:after="0" w:line="175" w:lineRule="exact"/>
        <w:rPr>
          <w:sz w:val="20"/>
          <w:szCs w:val="20"/>
          <w:color w:val="auto"/>
        </w:rPr>
      </w:pPr>
      <w:r>
        <w:rPr>
          <w:rFonts w:ascii="Times New Roman" w:cs="Times New Roman" w:eastAsia="Times New Roman" w:hAnsi="Times New Roman"/>
          <w:sz w:val="14"/>
          <w:szCs w:val="14"/>
          <w:color w:val="auto"/>
        </w:rPr>
        <w:t>We expect to fund these capital needs through a combination of sources, including, but not limited to, project-level non-recourse debt, equity capital at the corporate or project level, government grants and incentives, customer prepayments or prebuys under offtake arrangements, and capital markets transactions, including corporate debt and equity-linked securities, as well as potential tax equity, tax credit sales or similar monetization of available tax attributes. The availability, timing and terms of any such financing are uncertain and may be affected by market conditions, regulatory developments, performance under existing offtake contracts, and the perceived bankability of our EGS technology and project structures. Additional capital may not be available in the amounts required, or on favorable terms. In addition, if any adverse findings are discovered at any stage during the course of our development of our projects that would render part of, or all of, them to be unsuitable or we discover flaws that may decrease the value of our project sites as collateral for purposes of any financing, then we may not be able to obtain the financing necessary to construct our projects on favorable terms, or at all. Moreover, because certain debt and tax equity providers condition funding on receipt of key permits and approvals, including federal permits and approvals and applicable state and local permits and approvals, we may be required to finance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permit subsurface</w:t>
      </w:r>
    </w:p>
    <w:p>
      <w:pPr>
        <w:sectPr>
          <w:pgSz w:w="11900" w:h="16838" w:orient="portrait"/>
          <w:cols w:equalWidth="0" w:num="1">
            <w:col w:w="9019"/>
          </w:cols>
          <w:pgMar w:left="1440" w:top="1440" w:right="1440" w:bottom="384"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1440" w:right="1440" w:bottom="384" w:gutter="0" w:footer="0" w:header="0"/>
          <w:type w:val="continuous"/>
        </w:sectPr>
      </w:pPr>
    </w:p>
    <w:bookmarkStart w:id="31" w:name="page32"/>
    <w:bookmarkEnd w:id="3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work with corporate equity or other more expensive capital, increasing our liquidity risk and overall cost of capital even where federal approvals that underwent NEPA review are in place.</w:t>
      </w:r>
    </w:p>
    <w:p>
      <w:pPr>
        <w:spacing w:after="0" w:line="81" w:lineRule="exact"/>
        <w:rPr>
          <w:sz w:val="20"/>
          <w:szCs w:val="20"/>
          <w:color w:val="auto"/>
        </w:rPr>
      </w:pPr>
    </w:p>
    <w:p>
      <w:pPr>
        <w:ind w:left="1160" w:right="1239" w:firstLine="258"/>
        <w:spacing w:after="0" w:line="258" w:lineRule="auto"/>
        <w:rPr>
          <w:sz w:val="20"/>
          <w:szCs w:val="20"/>
          <w:color w:val="auto"/>
        </w:rPr>
      </w:pPr>
      <w:r>
        <w:rPr>
          <w:rFonts w:ascii="Times New Roman" w:cs="Times New Roman" w:eastAsia="Times New Roman" w:hAnsi="Times New Roman"/>
          <w:sz w:val="14"/>
          <w:szCs w:val="14"/>
          <w:color w:val="auto"/>
        </w:rPr>
        <w:t>Furthermore, any adverse changes in power demand that affect the competitiveness of our projects or any failure on our part to obtain or comply with necessary permits or approvals may also hinder our ability to obtain necessary additional capital or financing. Although we believe current market dynamics—such as rising grid demand from data centers and utilities, capacity shortfalls, and procurement preferences for clean, firm power— support our EGS strategy, such dynamics could change. Delays in the construction of our projects beyond their estimated development periods could increase the cost of completion beyond the amounts that we estimate, which could require us to obtain additional sources of financing to fund our operations until our projects are fully completed (which could cause further delays). Moreover, many factors (including factors beyond our control) could result in a disparity between liquidity sources and cash needs, including factors such as construction delays, cost overruns, underperformance of drilling, completions or ORC turbines, supply chain disruptions or breaches of agreements. If, after incurring substantial expenditures, we are unable to obtain required permits or must materially redesign projects to satisfy permitting conditions, we could face further delays, cost overruns, impairments of capitalized costs, and the need to raise additional funds on unfavorable terms. This risk persists notwithstanding our federal approvals that underwent NEPA review for approximately 2 gigawatts of capacity potential, because those approvals do not replace or guarantee issuance of required well permits or state and local authorizations.</w:t>
      </w:r>
    </w:p>
    <w:p>
      <w:pPr>
        <w:spacing w:after="0" w:line="110"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Our ability to obtain financing that may be needed to provide additional funding will depend, in part, on factors beyond our control and there can be no assurances that funding will be available to us on commercial terms or at all. For example, capital providers or their applicable regulators may elect to cease funding geothermal projects or certain related businesses. Accordingly, we may not be able to obtain financing on terms that are acceptable to us, or at all. Even if we are able to obtain financing, we may have to accept terms that are disadvantageous to us or that may have an adverse impact on our business plan and the viability of the relevant project. The failure to obtain any necessary additional funding could cause any or all of our projects to be delayed or not be completed, including our modular deployments within GeoClusters such as Cape Station. Any delays in construction could prevent us from commencing operations when we anticipate and could prevent us from realizing anticipated cash flows, all of which could have a material adverse effect on our business, contracts, financial condition, operating results, cash flow, financing requirements, liquidity, prospects and the price of our Class A common stock. The need to deploy material capital before securing key permits or approvals exacerbates these risks and could magnify adverse effects on our liquidity and project timelines if permitting outcomes are unfavorable. In particular, if we are delayed in obtaining federal permits and approvals or state and local approvals necessary for drilling, completions, surface facilities and plant construction, we may be unable to commence or continue planned work even where federal NEPA reviews have been completed, which could materially increase costs and delay schedules.</w:t>
      </w:r>
    </w:p>
    <w:p>
      <w:pPr>
        <w:spacing w:after="0" w:line="105"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EGS technology is still in early stages of deployment and operations, and we may be unable to improve upon such EGS technology to meet our business goals.</w:t>
      </w:r>
    </w:p>
    <w:p>
      <w:pPr>
        <w:spacing w:after="0" w:line="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There is limited commercial operating experience for EGS of the type, configuration, and scale we have pioneered, particularly compared to that of the existing traditional geothermal industry. To date, we have completed Project Red and have 500 megawatts at Cape Station under construction. Project Red was a limited-scope, proof-of-concept initiative designed to demonstrate certain technical capabilities rather than a commercial-scale development. By contrast, Cape Station represents our first meaningful attempt to deploy our modules at commercial scale. Cape Station is not yet complete and, based on our current schedule, is not expected to have the first approximately 100 megawatts fully constructed, commissioned, and operational until early 2027. As a result, we have not yet demonstrated an ability to deliver consistent, reliable, and economic performance at scale, and our business, financial condition, and results of operations could be adversely affected if we experience delays, cost overruns, resource underperformance, operational failures, or other challenges in constructing, commissioning, and operating Cape Station Phase I or any subsequent commercial-scale project.</w:t>
      </w:r>
    </w:p>
    <w:p>
      <w:pPr>
        <w:spacing w:after="0" w:line="10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While our wellfields, drilling operations, and power plants have been and will be actively managed through design reviews, prototyping, testing, involvement of external partners with subject matter expertise, and application of approaches utilized in the operation of Project Red and in the construction of Cape Station, we could still fail to identify latent design, manufacturing, construction, and operations issues early enough to avoid negative effects 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production, fabrication, construction, or ultimate performance of power plant and related technologies. In addition, our wellfields, drilling operations, and power plants in their early stages may underperform due to operational uncertainties as well as engineering or operational limitations beyond our control, any of which could materially and adversely affect our business.</w:t>
      </w:r>
    </w:p>
    <w:p>
      <w:pPr>
        <w:spacing w:after="0" w:line="97"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Moreover, the cost and time associated with the construction and maintenance of our wellfields, drilling operations, and power plants may be greater than we expect because of a lack of a labor force with relevant commercial experience and a shallow and otherwise immature supply chain for these types of geothermal systems. Where these issues may arise at later stages of deployment, deployment could be subject to greater costs or be significantly delayed, which could permit our counterparties to terminate their PPAs and otherwise materially and adversely affect our business.</w:t>
      </w:r>
    </w:p>
    <w:p>
      <w:pPr>
        <w:spacing w:after="0" w:line="101"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Prospective offtakers, including utilities and commercial and industrial customers, may also find it more difficult, costly, and time-consuming to evaluate EGS projects and to make contracting decisions given the limited commercial operating history of our systems. This could lead to longer sales cycles and additional requirements such as extended diligence, demonstration periods, more stringent performance guarantees, higher collateral or credit support, and tighter allocation of resource and availability risk. These factors could increase bid and contracting costs, constrain pricing or other commercial terms relative to incumbent technologies, and delay revenue recognition or milestones under PPAs and related electricity sales arrangements.</w:t>
      </w:r>
    </w:p>
    <w:p>
      <w:pPr>
        <w:spacing w:after="0" w:line="101"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Similarly, the availability, timing, and terms of project and corporate financing may be adversely affected until we establish a longer operating track record and material cash flows from commercial-scale plants. Lenders, tax equity investors, and other financing sources may require higher return thresholds, lower advance rates, additional reserves, and more comprehensive completion support or guarantees. We may therefore face a higher cost of capital and more limited access to non-recourse financing for initial projects, which could necessitate greater reliance on</w:t>
      </w:r>
    </w:p>
    <w:p>
      <w:pPr>
        <w:sectPr>
          <w:pgSz w:w="11900" w:h="16893" w:orient="portrait"/>
          <w:cols w:equalWidth="0" w:num="1">
            <w:col w:w="9019"/>
          </w:cols>
          <w:pgMar w:left="1440" w:top="189" w:right="1440" w:bottom="0" w:gutter="0" w:footer="0" w:header="0"/>
        </w:sectPr>
      </w:pPr>
    </w:p>
    <w:bookmarkStart w:id="32" w:name="page33"/>
    <w:bookmarkEnd w:id="32"/>
    <w:p>
      <w:pPr>
        <w:ind w:left="1160" w:right="1299"/>
        <w:spacing w:after="0" w:line="273" w:lineRule="auto"/>
        <w:rPr>
          <w:sz w:val="20"/>
          <w:szCs w:val="20"/>
          <w:color w:val="auto"/>
        </w:rPr>
      </w:pPr>
      <w:r>
        <w:rPr>
          <w:rFonts w:ascii="Times New Roman" w:cs="Times New Roman" w:eastAsia="Times New Roman" w:hAnsi="Times New Roman"/>
          <w:sz w:val="14"/>
          <w:szCs w:val="14"/>
          <w:color w:val="auto"/>
        </w:rPr>
        <w:t>corporate capital, equity financing, or government-supported programs. Any inability to obtain financing on acceptable terms, or delays in securing such financing, could postpone project starts or completions and negatively impact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-318770</wp:posOffset>
            </wp:positionV>
            <wp:extent cx="716026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In addition, our business plan anticipates that our drilling operations will drill to greater depth and temperatures, and makes assumptions with respect to learnings, efficiencies and regulatory approvals as a result of this concurrent development approach. If such assumptions regarding concurrent development at greater depths and temperatures are not accurate, we may be unable to successfully introduce, market, and sell these configurations of our power plants in a timely and cost-effective manner, and properly position and/or price our products, our business, results of operations, or financial position could be materially impacted.</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lack of experience for the EGS systems we employ creates risks that cost and timeline estimates may be inaccurate and the lack of domestic commercial experience in terms of labor and supply chain and other factors may result in greater than expected construction cost, deployment timelines, maintenance requirements, differing power output and greater operating expense. Even as we standardize GeoBlock designs and capture learning curves, subsurface geology and engineered reservoir performance can vary, and early-stage EGS operational data, while growing, remains limited relative to historically available geothermal operating data.</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rely on power transmission facilities that we do not own or control.</w:t>
      </w:r>
    </w:p>
    <w:p>
      <w:pPr>
        <w:spacing w:after="0" w:line="14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depend on transmission facilities owned and operated by others to deliver the power we sell from our power plants to our customers. If transmission is disrupted, or if the transmission capacity infrastructure is inadequate, or if there is a failure that requires long shutdown for repair, or if curtailment is required due to load system inefficiency, our ability to sell and deliver power to our customers may be adversely impacted and we may either incur additional costs or forego revenues. For example, if a transmission provider curtails our facility or recalls our transmission rights, we could experience prolonged or repeated outages, face liquidated damages or termination under our PPAs, face damages under tax credit sales agreements, and face potential defaults under financing arrangements. In addition, lack of access to new transmission capacity may affect our ability to develop new projects. Existing congestion of transmission capacity, as well as expansion of transmission systems and competition from other developers seeking access to expanded systems, could also affect our performance. Although our modular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619"/>
        <w:spacing w:after="0" w:line="274" w:lineRule="auto"/>
        <w:rPr>
          <w:sz w:val="20"/>
          <w:szCs w:val="20"/>
          <w:color w:val="auto"/>
        </w:rPr>
      </w:pPr>
      <w:r>
        <w:rPr>
          <w:rFonts w:ascii="Times New Roman" w:cs="Times New Roman" w:eastAsia="Times New Roman" w:hAnsi="Times New Roman"/>
          <w:sz w:val="14"/>
          <w:szCs w:val="14"/>
          <w:color w:val="auto"/>
        </w:rPr>
        <w:t>GeoCluster approach may offer interconnection optionality at multi-gigawatt sites, new transmission remains uncertain, and behind-the-meter opportunities with data centers may not be available or sufficient to offset transmission constraints.</w:t>
      </w:r>
    </w:p>
    <w:p>
      <w:pPr>
        <w:spacing w:after="0" w:line="93"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successful development of our project pipeline depends on our ability to obtain sufficient interconnection and transmission capacity to support delivery obligations under our PPAs. For example, for Cape Station Phase II, we currently have approximately 290 megawatts of interconnection and transmission rights. This capacity is sufficient to meet the obligations under our original PPAs with Southern California Edison (SCE) and Clean Power Alliance (CPA), but is insufficient to support the full 384 megawatts of combined contracted capacity with the subsequent expansions of the SCE and CPA PPAs. If we are unable to secure additional interconnection and transmission capacity or alternative delivery arrangements on a timely basis or at all, our original PPAs would remain in effect; however, we may be unable to deliver the additional megawatts of contracted capacity, which could result in reduced revenues, payment of liquidated damages, contract modifications or terminations, or other adverse effects on our business and financial condition.</w:t>
      </w:r>
    </w:p>
    <w:p>
      <w:pPr>
        <w:spacing w:after="0" w:line="99"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only a limited track record and historical financial information, and there is no assurance that our business will be successful over the long term.</w:t>
      </w:r>
    </w:p>
    <w:p>
      <w:pPr>
        <w:spacing w:after="0" w:line="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Prior to February 2017, we conducted no business operations and we recorded no revenue or expenses. During</w:t>
      </w:r>
    </w:p>
    <w:p>
      <w:pPr>
        <w:spacing w:after="0" w:line="25" w:lineRule="exact"/>
        <w:rPr>
          <w:sz w:val="20"/>
          <w:szCs w:val="20"/>
          <w:color w:val="auto"/>
        </w:rPr>
      </w:pPr>
    </w:p>
    <w:p>
      <w:pPr>
        <w:ind w:left="1160" w:right="1199"/>
        <w:spacing w:after="0" w:line="256" w:lineRule="auto"/>
        <w:rPr>
          <w:sz w:val="20"/>
          <w:szCs w:val="20"/>
          <w:color w:val="auto"/>
        </w:rPr>
      </w:pPr>
      <w:r>
        <w:rPr>
          <w:rFonts w:ascii="Times New Roman" w:cs="Times New Roman" w:eastAsia="Times New Roman" w:hAnsi="Times New Roman"/>
          <w:sz w:val="14"/>
          <w:szCs w:val="14"/>
          <w:color w:val="auto"/>
        </w:rPr>
        <w:t>the years ended December 31, 2025 and 2024, we reported net losses of $57.8 million and $41.1 million, respectively.</w:t>
      </w:r>
    </w:p>
    <w:p>
      <w:pPr>
        <w:spacing w:after="0" w:line="287"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Our activities to date have included organizational efforts related to the development and construction of our projects and related assets, including but not limited to:</w:t>
      </w:r>
    </w:p>
    <w:p>
      <w:pPr>
        <w:spacing w:after="0" w:line="81" w:lineRule="exact"/>
        <w:rPr>
          <w:sz w:val="20"/>
          <w:szCs w:val="20"/>
          <w:color w:val="auto"/>
        </w:rPr>
      </w:pPr>
    </w:p>
    <w:p>
      <w:pPr>
        <w:ind w:left="1660" w:hanging="249"/>
        <w:spacing w:after="0"/>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capital;</w:t>
      </w:r>
    </w:p>
    <w:p>
      <w:pPr>
        <w:spacing w:after="0" w:line="139"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options to lease and leasing our project sites within large, contiguous EGS development hubs that we refer to as GeoClusters;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and planning with various contractors for the development and production of such sites;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PPAs with offtakers, including investment-grade utilities and hyperscalers seeking clean, firm 24/7 power;</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and entering into construction contracts with construction contractors;</w:t>
      </w:r>
    </w:p>
    <w:p>
      <w:pPr>
        <w:spacing w:after="0" w:line="139"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and entering into procurement contracts with equipment suppliers for standardized, modular ORC units and drilling services;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Procuring transmission and interconnection rights; and</w:t>
      </w:r>
    </w:p>
    <w:p>
      <w:pPr>
        <w:spacing w:after="0" w:line="139" w:lineRule="exact"/>
        <w:rPr>
          <w:rFonts w:ascii="Times New Roman" w:cs="Times New Roman" w:eastAsia="Times New Roman" w:hAnsi="Times New Roman"/>
          <w:sz w:val="14"/>
          <w:szCs w:val="14"/>
          <w:color w:val="auto"/>
        </w:rPr>
      </w:pPr>
    </w:p>
    <w:p>
      <w:pPr>
        <w:ind w:left="1660" w:right="1499" w:hanging="249"/>
        <w:spacing w:after="0" w:line="274"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development and construction activities at Project Red and Cape Station, and retaining contractors for s uch work, including geotechnical, drilling, completions and surface, power plant and electrical equipment construction.</w:t>
      </w:r>
    </w:p>
    <w:p>
      <w:pPr>
        <w:spacing w:after="0" w:line="9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have plans for rapid continued growth, with 500 megawatts under construction and a significant number of additional megawatts in the pipeline for planned construction. Our future growth will be impacted by, among other things: adverse macroeconomic conditions, including the rate of growth of U.S. electricity demand; changing interest rates; our ability to develop our wellfields and power plants, market acceptance of our technology, including our EGS systems, our ability to meet demand for funding; sales of power pursuant to our PPAs; increasing competition; credit market volatility; increasing regulatory costs and challenges; prices of construction of projects; and our failure to capitalize on growth opportunities.</w:t>
      </w:r>
    </w:p>
    <w:p>
      <w:pPr>
        <w:spacing w:after="0" w:line="10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Further, as we execute these growth plans, we expect our operating expenses to significantly increase as we make significant investments, expand our operations and infrastructure, develop and introduce new technologies and hire additional personnel. These efforts may be more costly than we expect and may not result in revenue growth or</w:t>
      </w:r>
    </w:p>
    <w:p>
      <w:pPr>
        <w:sectPr>
          <w:pgSz w:w="11900" w:h="16838" w:orient="portrait"/>
          <w:cols w:equalWidth="0" w:num="1">
            <w:col w:w="9019"/>
          </w:cols>
          <w:pgMar w:left="1440" w:top="94" w:right="1440" w:bottom="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65" w:lineRule="auto"/>
        <w:rPr>
          <w:sz w:val="20"/>
          <w:szCs w:val="20"/>
          <w:color w:val="auto"/>
        </w:rPr>
      </w:pPr>
      <w:r>
        <w:rPr>
          <w:rFonts w:ascii="Times New Roman" w:cs="Times New Roman" w:eastAsia="Times New Roman" w:hAnsi="Times New Roman"/>
          <w:sz w:val="14"/>
          <w:szCs w:val="14"/>
          <w:color w:val="auto"/>
        </w:rPr>
        <w:t>increased efficiency. When we become a public company, we will incur additional significant legal, accounting, and other expenses that we did not incur as a private company.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w:t>
      </w:r>
    </w:p>
    <w:p>
      <w:pPr>
        <w:spacing w:after="0" w:line="9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Our limited operating history may limit your ability and the ability of counterparties and potential financing sources, among others, to evaluate our prospects because our limited financial data, our unproven ability to maintain or increase our profitability and our limited experience in addressing issues that may affect our ability to manage the construction, operation or maintenance of enhanced geothermal facilities and related assets. We face all of the risks commonly encountered by other growing businesses, including competition and the need for additional capital and personnel. As a result, any assessment you, our counterparties or potential financing sources make about our current business and any predictions you, our counterparties or potential financing sources make about our future success or viability may not be accurate. There is no assurance that our business will be successful over the long term.</w:t>
      </w:r>
    </w:p>
    <w:p>
      <w:pPr>
        <w:spacing w:after="0" w:line="99"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financial performance depends on the successful operation of our geothermal power plants, which is subject to various operational risks.</w:t>
      </w:r>
    </w:p>
    <w:p>
      <w:pPr>
        <w:spacing w:after="0" w:line="7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financial performance depends on the successful operation of our geothermal power plants. In connection with such operations, we anticipate we will derive substantially all of our total revenues for the year ended December 31, 2026 from the sale of electricity. Following commissioning of our power plants, we plan to manage, operate, and maintain such power plants in-house through our subsidiaries. We are in the process of building out our team to manage and operate the power plants, and as a result we will be exposed to various operational risks as we expand that team and bring power plants online. The cost of operation and maintenance and the operating performance of our geothermal power plants may be adversely affected by a variety of factors, including:</w:t>
      </w:r>
    </w:p>
    <w:p>
      <w:pPr>
        <w:spacing w:after="0" w:line="101" w:lineRule="exact"/>
        <w:rPr>
          <w:sz w:val="20"/>
          <w:szCs w:val="20"/>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track record with managing and operating our own power plants;</w:t>
      </w:r>
    </w:p>
    <w:p>
      <w:pPr>
        <w:spacing w:after="0" w:line="139"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power plants performing below expected levels of efficiency or capacity or required changes to specifications for continued operations;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and unexpected maintenance and replacement expenditures;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breakdowns or failures of equipment or shortages or delays in the delivery of power;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operational errors or failures of operators and service providers used in our operations;</w:t>
      </w:r>
    </w:p>
    <w:p>
      <w:pPr>
        <w:spacing w:after="0" w:line="139"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recruit and retain key personnel to successfully manage and operate the power plants;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lack of adequate and qualified personnel to crew and operate the power plants;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labor shortages, work stoppages, or labor disputes;</w:t>
      </w:r>
    </w:p>
    <w:p>
      <w:pPr>
        <w:spacing w:after="0" w:line="139" w:lineRule="exact"/>
        <w:rPr>
          <w:rFonts w:ascii="Times New Roman" w:cs="Times New Roman" w:eastAsia="Times New Roman" w:hAnsi="Times New Roman"/>
          <w:sz w:val="14"/>
          <w:szCs w:val="14"/>
          <w:color w:val="auto"/>
        </w:rPr>
      </w:pPr>
    </w:p>
    <w:p>
      <w:pPr>
        <w:ind w:left="1660" w:right="1619" w:hanging="249"/>
        <w:spacing w:after="0" w:line="292"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presence of hazardous substances on our geothermal power plant sites and releases of hazardous substances into the environment;</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transmission expenses and complications;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availability of water supply or costs associated with procurement;</w:t>
      </w:r>
    </w:p>
    <w:p>
      <w:pPr>
        <w:spacing w:after="0" w:line="139" w:lineRule="exact"/>
        <w:rPr>
          <w:rFonts w:ascii="Times New Roman" w:cs="Times New Roman" w:eastAsia="Times New Roman" w:hAnsi="Times New Roman"/>
          <w:sz w:val="14"/>
          <w:szCs w:val="14"/>
          <w:color w:val="auto"/>
        </w:rPr>
      </w:pPr>
    </w:p>
    <w:p>
      <w:pPr>
        <w:ind w:left="1660" w:right="1299" w:hanging="249"/>
        <w:spacing w:after="0" w:line="268"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catastrophic events such as fires, explosions, earthquakes, volcanic activity, landslides, floods, severe weather storms, or other weather events (including weather conditions associated with climate change) or similar occurrences affecting our power plants or any of the power purchases or other third parties providing services to our power plants;</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supporting infrastructure, such as roads and other civil infrastructure;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39" w:hanging="249"/>
        <w:spacing w:after="0" w:line="292" w:lineRule="auto"/>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aging of power plants and ORC turbines (which may reduce their availability and increase the cost of their maintenance);</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secure or sustain sufficient geothermal heat flow from production wells due to engineered reservoir underperformance, thermal drawdown, scaling or injection/production imbalances;</w:t>
      </w:r>
    </w:p>
    <w:p>
      <w:pPr>
        <w:spacing w:after="0" w:line="80" w:lineRule="exact"/>
        <w:rPr>
          <w:rFonts w:ascii="Times New Roman" w:cs="Times New Roman" w:eastAsia="Times New Roman" w:hAnsi="Times New Roman"/>
          <w:sz w:val="14"/>
          <w:szCs w:val="14"/>
          <w:color w:val="auto"/>
        </w:rPr>
      </w:pPr>
    </w:p>
    <w:p>
      <w:pPr>
        <w:ind w:left="1660" w:right="1299" w:hanging="249"/>
        <w:spacing w:after="0" w:line="176" w:lineRule="exact"/>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heat-in-place, reservoir temperature, or sustainable flow rates over time, including as a result of thermal drawdown, changes in fracture conductivity or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circuiting, permeability loss, scaling, or lower-than-expected recovery factors;</w:t>
      </w:r>
    </w:p>
    <w:p>
      <w:pPr>
        <w:spacing w:after="0" w:line="117" w:lineRule="exact"/>
        <w:rPr>
          <w:rFonts w:ascii="Times New Roman" w:cs="Times New Roman" w:eastAsia="Times New Roman" w:hAnsi="Times New Roman"/>
          <w:sz w:val="14"/>
          <w:szCs w:val="14"/>
          <w:color w:val="auto"/>
        </w:rPr>
      </w:pPr>
    </w:p>
    <w:p>
      <w:pPr>
        <w:ind w:left="1660" w:right="1379" w:hanging="249"/>
        <w:spacing w:after="0" w:line="176" w:lineRule="exact"/>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augment, remediate, or replace existing wells to maintain production, whether due to prohibitive costs or otherwise (including limits on refracturing, sidetracking, installing liners or artificial lift, increasing injection pressures, drilling make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wells, supply chain availability, regulatory or permitting constraints, or water constraints);</w:t>
      </w:r>
    </w:p>
    <w:p>
      <w:pPr>
        <w:spacing w:after="0" w:line="115"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that may interrupt the operation of our power plants;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to laws or rules which may affect our ability to meet existing contract energy delivery</w:t>
      </w:r>
    </w:p>
    <w:p>
      <w:pPr>
        <w:sectPr>
          <w:pgSz w:w="11900" w:h="16838" w:orient="portrait"/>
          <w:cols w:equalWidth="0" w:num="1">
            <w:col w:w="9019"/>
          </w:cols>
          <w:pgMar w:left="1440" w:top="425" w:right="1440" w:bottom="0" w:gutter="0" w:footer="0" w:header="0"/>
        </w:sectPr>
      </w:pPr>
    </w:p>
    <w:bookmarkStart w:id="34" w:name="page35"/>
    <w:bookmarkEnd w:id="34"/>
    <w:p>
      <w:pPr>
        <w:ind w:left="1660"/>
        <w:spacing w:after="0"/>
        <w:rPr>
          <w:sz w:val="20"/>
          <w:szCs w:val="20"/>
          <w:color w:val="auto"/>
        </w:rPr>
      </w:pPr>
      <w:r>
        <w:rPr>
          <w:rFonts w:ascii="Times New Roman" w:cs="Times New Roman" w:eastAsia="Times New Roman" w:hAnsi="Times New Roman"/>
          <w:sz w:val="14"/>
          <w:szCs w:val="14"/>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7"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Any of these events could significantly increase the expense of operating our power plants or could reduce the overall effectiveness of the generating capacity of our power plants, which in turn would reduce our net income and could materially and adversely affect our business, financial condition, future results and cash flows.</w:t>
      </w:r>
    </w:p>
    <w:p>
      <w:pPr>
        <w:spacing w:after="0" w:line="89" w:lineRule="exact"/>
        <w:rPr>
          <w:sz w:val="20"/>
          <w:szCs w:val="20"/>
          <w:color w:val="auto"/>
        </w:rPr>
      </w:pPr>
    </w:p>
    <w:p>
      <w:pPr>
        <w:jc w:val="both"/>
        <w:ind w:left="11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losses, we anticipate increasing operating expenses in the future, and we may not be able to achieve and, if achieved, maintain profitability.</w:t>
      </w:r>
    </w:p>
    <w:p>
      <w:pPr>
        <w:spacing w:after="0" w:line="7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experienced losses in each year since our founding. During the years ended December 31, 2025 and 2024, we reported net losses of $57.8 million and $41.1 million, respectively.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w:t>
      </w:r>
    </w:p>
    <w:p>
      <w:pPr>
        <w:spacing w:after="0" w:line="99"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We expect our capital and operating expenditures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When we become a public company, we will incur additional significant legal, accounting, and other expenses that we did not incur as a private company.</w:t>
      </w:r>
    </w:p>
    <w:p>
      <w:pPr>
        <w:spacing w:after="0" w:line="99"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Our ability to be profitable and generate positive operating cash flows is primarily dependent on our ability to generate revenues, and in turn net profits and operating cash flows, after COD occurs for a given project, through the sale of electricity pursuant to our PPAs that are effective after their respective COD, as well as our ability to monetize our tax credits and our other assets, including any intellectual property, data, or advisory arrangements that may be pursued in the ordinary course.</w:t>
      </w:r>
    </w:p>
    <w:p>
      <w:pPr>
        <w:spacing w:after="0" w:line="99"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ability to generate sales of electricity following COD at each of our projects depends on our ability to successfully commence and maintain production under our PPAs. We expect to begin delivering first power from our 500-megawatt Cape Station project by late 2026, and to reach approximately 100 megawatts of operating capacity by early 2027. However, there is no guarantee that we will achieve such CODs within those timeframes or at all. We may fail to receive the required approvals and permits from governmental and regulatory agencies for our projects. As a result, there can be no assurance as to when we will commence deliveries under our PPAs, and therefore when, if at all, we will commence generating revenues and operating cash flows from our PPAs. If we do not commence operations under our PPA on Cape Station Phase I (Unit 1) by October 1, 2026, Cape Station Phase I (Units 2-3) by January 1, 2027, and Cape Station Phase II by June 1, 2028, we will incur liquidated damages under the provisions of the applicable PPA. If we do not commence operations within six months of the applicable PPA</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92" w:lineRule="auto"/>
        <w:rPr>
          <w:sz w:val="20"/>
          <w:szCs w:val="20"/>
          <w:color w:val="auto"/>
        </w:rPr>
      </w:pPr>
      <w:r>
        <w:rPr>
          <w:rFonts w:ascii="Times New Roman" w:cs="Times New Roman" w:eastAsia="Times New Roman" w:hAnsi="Times New Roman"/>
          <w:sz w:val="14"/>
          <w:szCs w:val="14"/>
          <w:color w:val="auto"/>
        </w:rPr>
        <w:t>COD deadline, our counterparty has the right to terminate the contract. Accordingly, there is significant uncertainty about our ability to maintain profitability and operating cash flows.</w:t>
      </w:r>
    </w:p>
    <w:p>
      <w:pPr>
        <w:spacing w:after="0" w:line="8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Further, if our wells are not as productive as expected, we may have to drill additional wells, driving up capital expenditures and potentially making our projects unprofitable. Because our EGS deployment relies on horizontal drilling and multistage stimulation to create engineered reservoirs, deviations from expected reservoir performance could also impact production profiles and power output from otherwise standardized GeoBlocks.</w:t>
      </w:r>
    </w:p>
    <w:p>
      <w:pPr>
        <w:spacing w:after="0" w:line="9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If our revenue does not increase sufficient to offset the expected increases in our operating expenses, we will not be profitable in future periods. Any of the foregoing could have a material adverse effect on us. We cannot assure you that we will ever achieve or sustain profitability and may continue to incur significant losses going forward, which could cause the value of our Class A common stock to decline. Moreover, even if we achieve targeted cost reductions over time through EGS learning curves and standardized ORC deployments, we may not be able to outcompete other suppliers of electricity.</w:t>
      </w:r>
    </w:p>
    <w:p>
      <w:pPr>
        <w:spacing w:after="0" w:line="97"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relies on projects with extended timelines and failure to realize these projects may adversely impact our business.</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business and revenues rely on projects with extended and estimated timelines. However, our reliance on events in the distant future subjects us to significant risk of changes in the economic environment, regulatory environment, competitive landscape and technological advances. In particular, we may encounter unanticipated delays in the scheduled commencement date or completion of Cape Station or other projects, including due to our inability to secure funding, inability to obtain or delays in obtaining permits, licenses and other regulatory approvals (including due to legal challenges or other opposition relating to environmental permits), manufacturing delays and launch delays, as well as delays due to weather and supply chain disruptions.</w:t>
      </w:r>
    </w:p>
    <w:p>
      <w:pPr>
        <w:spacing w:after="0" w:line="101"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If the development and launch of Cape Station (or its components) is not as successful as anticipated or if we fail to realize all or some of the benefits within the anticipated timeframe, including phased GeoBlock deployment, we may accrue additional costs, fail to gain expected cost savings, fail to recognize additional revenue, become unable to meet our financial objectives, provide a basis for contract termination or renegotiation or otherwise negatively impact customer and employee experience and fail to grow or grow as quickly or compete as effectively as we currently anticipate. In addition, given the large amount of time, we may be unable to adequately prepare for additional risks of which we may not currently be aware and the risks of which we are aware may be heightened. Failure to meet these timelines or delays in operation of Cape Station and other projects may adversely affect us.</w:t>
      </w:r>
    </w:p>
    <w:p>
      <w:pPr>
        <w:spacing w:after="0" w:line="99" w:lineRule="exact"/>
        <w:rPr>
          <w:sz w:val="20"/>
          <w:szCs w:val="20"/>
          <w:color w:val="auto"/>
        </w:rPr>
      </w:pPr>
    </w:p>
    <w:p>
      <w:pPr>
        <w:ind w:left="1160" w:right="15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materials and supplied components, some of which are highly specialized. We and our third-party vendors may not be able to obtain sufficient materials or supplied components to meet our manufacturing and operating needs or obtain such materials on favorable terms including price. Additionally, certain components may only be available from international suppliers.</w:t>
      </w:r>
    </w:p>
    <w:p>
      <w:pPr>
        <w:spacing w:after="0" w:line="96"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Our operations depend on a reliable supply chain for critical components, such as geothermal turbines, heat exchangers, and control systems, which are primarily sourced from third-party suppliers like Turboden, Baker Hughes and other specialized manufacturers. Although we have placed orders for critical components of Phase II of Cape Station, there is no guarantee that such components will arrive in the timeline expected or at all. If we are unable to secure replacements for such critical components, or if the timing of Phase II of Cape Station is impacted by the delay of such critical components such that we are unable to deliver power within the timeframe contemplated by the applicable PPA, our business may be materially and adversely impacted. For more information, please read “Risk Factors—Our customers or we may terminate our PPAs if certain conditions are not met or for</w:t>
      </w:r>
    </w:p>
    <w:p>
      <w:pPr>
        <w:sectPr>
          <w:pgSz w:w="11900" w:h="16838" w:orient="portrait"/>
          <w:cols w:equalWidth="0" w:num="1">
            <w:col w:w="9019"/>
          </w:cols>
          <w:pgMar w:left="1440" w:top="94" w:right="1440" w:bottom="0" w:gutter="0" w:footer="0" w:header="0"/>
        </w:sectPr>
      </w:pPr>
    </w:p>
    <w:bookmarkStart w:id="35" w:name="page36"/>
    <w:bookmarkEnd w:id="35"/>
    <w:p>
      <w:pPr>
        <w:spacing w:after="0" w:line="100" w:lineRule="exact"/>
        <w:rPr>
          <w:sz w:val="20"/>
          <w:szCs w:val="20"/>
          <w:color w:val="auto"/>
        </w:rPr>
      </w:pPr>
    </w:p>
    <w:p>
      <w:pPr>
        <w:ind w:left="1160" w:right="1519"/>
        <w:spacing w:after="0" w:line="225" w:lineRule="auto"/>
        <w:rPr>
          <w:sz w:val="20"/>
          <w:szCs w:val="20"/>
          <w:color w:val="auto"/>
        </w:rPr>
      </w:pPr>
      <w:r>
        <w:rPr>
          <w:rFonts w:ascii="Times New Roman" w:cs="Times New Roman" w:eastAsia="Times New Roman" w:hAnsi="Times New Roman"/>
          <w:sz w:val="14"/>
          <w:szCs w:val="14"/>
          <w:color w:val="auto"/>
        </w:rPr>
        <w:t>other reasons.” Disruptions in manufacturing, transportation, or global trade—whether due to natural disasters, geopolitical tensions, global trade wars, tariffs, labor strikes, or pandemics—could delay the delivery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-161925</wp:posOffset>
            </wp:positionV>
            <wp:extent cx="716026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39"/>
        <w:spacing w:after="0" w:line="272" w:lineRule="auto"/>
        <w:rPr>
          <w:sz w:val="20"/>
          <w:szCs w:val="20"/>
          <w:color w:val="auto"/>
        </w:rPr>
      </w:pPr>
      <w:r>
        <w:rPr>
          <w:rFonts w:ascii="Times New Roman" w:cs="Times New Roman" w:eastAsia="Times New Roman" w:hAnsi="Times New Roman"/>
          <w:sz w:val="14"/>
          <w:szCs w:val="14"/>
          <w:color w:val="auto"/>
        </w:rPr>
        <w:t>components, impacting our ability to complete projects, including Phase II of Cape Station, as planned and meet contractual obligations.</w:t>
      </w:r>
    </w:p>
    <w:p>
      <w:pPr>
        <w:spacing w:after="0" w:line="94"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Transformers and related grid equipment are critical for interconnecting our GeoBlocks. Persistent supply chain constraints, extended lead times, or increased demand from other sectors could delay our ability to bring new GeoBlocks online, increasing costs and reducing revenue. The procurement process for grid infrastructure also</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60" w:right="1279"/>
        <w:spacing w:after="0" w:line="187" w:lineRule="exact"/>
        <w:rPr>
          <w:sz w:val="20"/>
          <w:szCs w:val="20"/>
          <w:color w:val="auto"/>
        </w:rPr>
      </w:pPr>
      <w:r>
        <w:rPr>
          <w:rFonts w:ascii="Times New Roman" w:cs="Times New Roman" w:eastAsia="Times New Roman" w:hAnsi="Times New Roman"/>
          <w:sz w:val="14"/>
          <w:szCs w:val="14"/>
          <w:color w:val="auto"/>
        </w:rPr>
        <w:t>involves utility coordination and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approvals, adding complexity and potential bottlenecks. Although our GeoCluster model can enable interconnection optionality, including phased interconnections or behind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meter options, such options may not be available or sufficient to offset broader grid equipment shortages.</w:t>
      </w:r>
    </w:p>
    <w:p>
      <w:pPr>
        <w:spacing w:after="0" w:line="116"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Prolonged supply chain issues could lead to increased costs, missed deadlines, and loss of revenue, as well as damage to our reputation with customers, partners, and regulators. In addition, supply chain disruptions may force us to seek alternative suppliers or redesign project specifications, potentially incurring additional expenses and technical risks. Having to switch suppliers could also cause material delays in construction and operations, for example, regarding wellhead supply. Moreover, we are dependent on future supplier capability to meet production demands attendant to our forecasts. While we maintain strong relationships with suppliers and seek to diversify our sourcing strategies, the complexity and global nature of our supply chain present ongoing risks that could adversely affect our business operations and financial performance. Even where we secure multi-year ORC procurement arrangements or drilling services, broader market constraints could limit near-term deliverability.</w:t>
      </w:r>
    </w:p>
    <w:p>
      <w:pPr>
        <w:spacing w:after="0" w:line="106" w:lineRule="exact"/>
        <w:rPr>
          <w:sz w:val="20"/>
          <w:szCs w:val="20"/>
          <w:color w:val="auto"/>
        </w:rPr>
      </w:pPr>
    </w:p>
    <w:p>
      <w:pPr>
        <w:ind w:left="1160" w:right="1339" w:firstLine="258"/>
        <w:spacing w:after="0" w:line="260" w:lineRule="auto"/>
        <w:rPr>
          <w:sz w:val="20"/>
          <w:szCs w:val="20"/>
          <w:color w:val="auto"/>
        </w:rPr>
      </w:pPr>
      <w:r>
        <w:rPr>
          <w:rFonts w:ascii="Times New Roman" w:cs="Times New Roman" w:eastAsia="Times New Roman" w:hAnsi="Times New Roman"/>
          <w:sz w:val="14"/>
          <w:szCs w:val="14"/>
          <w:color w:val="auto"/>
        </w:rPr>
        <w:t>Additionally, the imposition of sanctions, tariffs, or material changes in import and export requirements on a nation-by-nation basis, on materials or supplied components for our power plants could have a material adverse effect on our operations. Prolonged disruptions in the supply of any of our key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results of operations and cash flows. Our reliance on a domestic supply chain for drilling services and ORC equipment remains subject to capacity, even as we seek to partner with established service providers and turbine manufacturers.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customers, specific projects and regions may expose us to heightened financial exposure.</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business model currently relies on customers purchasing all or a significant portion of a facility’s output under long-term PPAs. The financial performance of these facilities depends on the ability of each customer to perform its obligations under those PPAs. A facility’s financial results could be materially and adversely affected if any of our customers fail to fulfill their contractual obligations and we are unable to obtain the same prices or terms we currently receive with new customers. We cannot assure that such performance failures by our customers will not occur, or that if they do occur, such failures will not adversely affect the cash flows or profitability of our business. Moreover, there can be no assurance that we will be able to enter into replacement agreements on favorable terms or at all.</w:t>
      </w:r>
    </w:p>
    <w:p>
      <w:pPr>
        <w:spacing w:after="0" w:line="10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As of December 31, 2025, substantially all of our GeoBlocks under construction were located in Utah. We also intend to expand our operations into Nevada in the long-term. In addition, we expect much of our near-term future growth to occur in these same markets and throughout the western United States, further concentrating our operational infrastructure. Accordingly, our business and results of operations are particularly susceptible to adverse economic, regulatory, permitting, political, weather and other conditions in such markets and in other markets that may become similarly concentrated. Any of these conditions, even if only in one such market, could have a material adverse effect on our business, financial condition and results of operations.</w:t>
      </w:r>
    </w:p>
    <w:p>
      <w:pPr>
        <w:spacing w:after="0" w:line="101"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We are exposed to the credit and financial condition of our offtakers. We have two long-term PPAs relating to Cape Station Phase I, and two long-term PPAs relating to Cape Station Phase II. Because our contracts are long-term, we may be adversely affected if the credit quality of any of these customers were to decline or if their respective financial conditions were to deteriorate or if they are otherwise unable to perform their obligations under our long-term contracts. While we have executed binding offtake agreements with credit-worthy counterparties in certain cases, long-term exposure to a concentrated offtaker base remains a risk.</w:t>
      </w:r>
    </w:p>
    <w:p>
      <w:pPr>
        <w:spacing w:after="0" w:line="97"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and our cash depends substantially on the performance of our subsidiaries and the power plants they operate, most of which are subject to restrictions and taxation on dividends and distributions.</w:t>
      </w:r>
    </w:p>
    <w:p>
      <w:pPr>
        <w:spacing w:after="0" w:line="77"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As a holding company, our financial health and liquidity are closely tied to the performance of our subsidiaries and the geothermal power plants they operate. These subsidiaries are the primary source of our cash flow, and any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65" w:lineRule="auto"/>
        <w:rPr>
          <w:sz w:val="20"/>
          <w:szCs w:val="20"/>
          <w:color w:val="auto"/>
        </w:rPr>
      </w:pPr>
      <w:r>
        <w:rPr>
          <w:rFonts w:ascii="Times New Roman" w:cs="Times New Roman" w:eastAsia="Times New Roman" w:hAnsi="Times New Roman"/>
          <w:sz w:val="14"/>
          <w:szCs w:val="14"/>
          <w:color w:val="auto"/>
        </w:rPr>
        <w:t>adverse developments in their operations can directly impact our ability to generate revenue and maintain financial stability. The geothermal power plants are subject to various operational risks, including resource variability, technological challenges, and maintenance requirements, which can affect their efficiency and output. Additionally, fluctuations in energy prices and demand can influence the profitability of these plants, further impacting the cash flow available to the holding company.</w:t>
      </w:r>
    </w:p>
    <w:p>
      <w:pPr>
        <w:spacing w:after="0" w:line="99"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Moreover, our subsidiaries operate in diverse regulatory environments, each with its own set of restrictions and taxation policies on dividends and distributions. These regulations can limit the amount of cash that can be transferred to the holding company, affecting our ability to meet financial obligations and invest in growth opportunities. Changes in tax laws or regulatory frameworks could increase the tax burden on our subsidiaries,</w:t>
      </w:r>
    </w:p>
    <w:p>
      <w:pPr>
        <w:sectPr>
          <w:pgSz w:w="11900" w:h="16938" w:orient="portrait"/>
          <w:cols w:equalWidth="0" w:num="1">
            <w:col w:w="9019"/>
          </w:cols>
          <w:pgMar w:left="1440" w:top="94" w:right="1440" w:bottom="0" w:gutter="0" w:footer="0" w:header="0"/>
        </w:sectPr>
      </w:pPr>
    </w:p>
    <w:bookmarkStart w:id="36" w:name="page37"/>
    <w:bookmarkEnd w:id="36"/>
    <w:p>
      <w:pPr>
        <w:ind w:left="1160" w:right="1479"/>
        <w:spacing w:after="0" w:line="274" w:lineRule="auto"/>
        <w:rPr>
          <w:sz w:val="20"/>
          <w:szCs w:val="20"/>
          <w:color w:val="auto"/>
        </w:rPr>
      </w:pPr>
      <w:r>
        <w:rPr>
          <w:rFonts w:ascii="Times New Roman" w:cs="Times New Roman" w:eastAsia="Times New Roman" w:hAnsi="Times New Roman"/>
          <w:sz w:val="14"/>
          <w:szCs w:val="14"/>
          <w:color w:val="auto"/>
        </w:rPr>
        <w:t>reducing the funds available for distribution. As a result, our financial results and ability to execute strategic initiatives are inherently linked to the operational success and regulatory compliance of our subsidiaries and the geothermal power plants they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-346710</wp:posOffset>
            </wp:positionV>
            <wp:extent cx="716026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3"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In addition, certain of our subsidiaries are party to project-level financing arrangements that contractually restrict or prioritize cash distributions before any amounts can be upstreamed to us. For example, the Cape Station Phase I project equity financings with Catalyst and Centaurus contain required payout provisions that must be</w:t>
      </w:r>
    </w:p>
    <w:p>
      <w:pPr>
        <w:spacing w:after="0" w:line="2" w:lineRule="exact"/>
        <w:rPr>
          <w:sz w:val="20"/>
          <w:szCs w:val="20"/>
          <w:color w:val="auto"/>
        </w:rPr>
      </w:pPr>
    </w:p>
    <w:p>
      <w:pPr>
        <w:ind w:left="1160" w:right="1299"/>
        <w:spacing w:after="0" w:line="257" w:lineRule="auto"/>
        <w:rPr>
          <w:sz w:val="20"/>
          <w:szCs w:val="20"/>
          <w:color w:val="auto"/>
        </w:rPr>
      </w:pPr>
      <w:r>
        <w:rPr>
          <w:rFonts w:ascii="Times New Roman" w:cs="Times New Roman" w:eastAsia="Times New Roman" w:hAnsi="Times New Roman"/>
          <w:sz w:val="14"/>
          <w:szCs w:val="14"/>
          <w:color w:val="auto"/>
        </w:rPr>
        <w:t>satisfied prior to any distributions to our parent company. The Catalyst financing is structured as project-level preferred equity with a priority dividend and return-of-capital profile, with cash applied first to preferred distributions before amounts are available to common equity. The Centaurus financing, which we have negotiated for Cape Station Phase I as junior project preferred equity, includes a distribution waterfall that prioritizes cash to Centaurus until agreed return hurdles are achieved, after which distributions step down; certain terms could further reduce cash available to common equity. The Project Granite Facility also includes a cash management structure pursuant to which project revenues from Cape Station Phase I are applied in a specified priority of payments, and distributions are subject to the satisfaction of specified conditions. These and similar project-level distribution waterfalls, reserve requirements, and covenant-based limitations may delay, reduce, or entirely preclude cash distributions to us for extended periods, even when the underlying project is operating as expected. Any such restrictions could materially limit our liquidity at the holding company level and our ability to meet corporate obligations, fund corporate overhead, or pursue strategic initiatives.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Management and operation of our wellfield and power plants will involve significant risks.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Following commissioning of our power plants, we plan to manage, operate, and maintain such power plants through our subsidiaries. We are in the process of building out our team to manage and operate the power plants, and as a result we will be exposed to various new operational risks as we expand that team and bring power plants online. For example, we will be exposed to the following risks with respect to the operation of power plants:</w:t>
      </w:r>
    </w:p>
    <w:p>
      <w:pPr>
        <w:spacing w:after="0" w:line="97" w:lineRule="exact"/>
        <w:rPr>
          <w:sz w:val="20"/>
          <w:szCs w:val="20"/>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track record with managing and operating our own power plants;</w:t>
      </w:r>
    </w:p>
    <w:p>
      <w:pPr>
        <w:spacing w:after="0" w:line="139"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power plants performing below expected levels of efficiency or capacity or required changes to specifications for continued operations;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breakdowns or failures of equipment or shortages or delays in the delivery of power;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releases of hazardous substances into the environment;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operators and service providers used in our operations;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errors by us or any contracted provider;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availability of water supply or costs associated with procurement;</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74" w:lineRule="auto"/>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catastrophic events or accidents such as fires, explosions, earthquakes, volcanic activity, landslides, floods, severe weather storms, or other weather events (including weather conditions associated with climate change) or other similar events or catastrophes;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39" w:hanging="249"/>
        <w:spacing w:after="0" w:line="292" w:lineRule="auto"/>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aging of power plants and ORC turbines (which may reduce their availability and increase the cost of their maintenance);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lack of adequate and qualified personnel to crew and operate the power plants;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labor shortages, work stoppages, or labor disputes;</w:t>
      </w:r>
    </w:p>
    <w:p>
      <w:pPr>
        <w:spacing w:after="0" w:line="139"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recruit and retain key personnel to successfully manage and operate the power plants;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weather-related or natural disaster interruptions of operations;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supply due to scheduled or unscheduled maintenance; or</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to laws or rules which may affect our ability to meet existing contract energy delivery requirements.</w:t>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The GFA is a non-binding agreement, and does not obligate Google to purchase power from us.</w:t>
      </w:r>
    </w:p>
    <w:p>
      <w:pPr>
        <w:spacing w:after="0" w:line="14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We recently entered into the GFA, a framework agreement with Google Energy LLC under which we have committed to propose geothermal development projects representing at least one gigawatt of geothermal capacity to Google within two years and up to three gigawatts over the term of the agreement. The GFA establishes a binding framework under which we may propose geothermal development projects to Google, but it does not obligate Google to accept any project, execute any power purchase agreement or provide us with any project financing. Google has the sole and unilateral right to accept or reject any proposed project for any reason or no reason, and may terminate the GFA in accordance with its terms. While the GFA provides for termination fees payable by Google if it withdraws from a project at certain development stages, these fees may not fully compensate us for the development costs we have incurred, and investors should not assume they reflect the full economic value of the projects to which they relate. In addition, either party may terminate the GFA entirely if no definitive offtake agreement has been executed by March 19, 2028, approximately two years from its effective date, which means the GFA could lapse in its entirety without resulting in any binding commitment from Google to purchase power from us. There can be no assurance that any project proposed under the GFA will progress to a binding offtake agreement or that the GFA will result in any contracted capacity or revenue.</w:t>
      </w:r>
    </w:p>
    <w:p>
      <w:pPr>
        <w:spacing w:after="0" w:line="11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Even in the event that projects do proceed under the GFA, the pricing and other terms of the GFA may limit our ability to fully recover costs or achieve our targeted returns. The GFA establishes pricing on a cost-plus targeted return basis, subject to caps, floors, and escalating discounts on expansion projects, any of which could compress our margins or require us to absorb cost overruns on affected projects. The GFA also grants Google audit rights over our project costs and pricing methodology, which could give rise to disputes that delay or disrupt the execution of definitive agreements. These pricing constraints could have a material adverse effect on our business, financial condition, and results of operations.</w:t>
      </w:r>
    </w:p>
    <w:p>
      <w:pPr>
        <w:sectPr>
          <w:pgSz w:w="11900" w:h="16838" w:orient="portrait"/>
          <w:cols w:equalWidth="0" w:num="1">
            <w:col w:w="9019"/>
          </w:cols>
          <w:pgMar w:left="1440" w:top="136" w:right="1440" w:bottom="0" w:gutter="0" w:footer="0" w:header="0"/>
        </w:sectPr>
      </w:pPr>
    </w:p>
    <w:bookmarkStart w:id="37" w:name="page38"/>
    <w:bookmarkEnd w:id="37"/>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GFA also imposes exclusivity obligations and restrictions on both parties during the project development process and grants Google certain rights of first refusal over portions of our project pipeline, including over expansion capacity within contracted areas and certain near- and medium-term uncontracted capacity. The GFA further restricts our ability to accept investment from, or enter into financing arrangements with, a broad category of entities defined as competitors under the GFA. Together, these provisions give Google significant priority over our near-term development pipeline and may limit our flexibility to pursue alternative commercial, strategic, or financing arrangements that would otherwise be available to us.</w:t>
      </w:r>
    </w:p>
    <w:p>
      <w:pPr>
        <w:spacing w:after="0" w:line="97" w:lineRule="exact"/>
        <w:rPr>
          <w:sz w:val="20"/>
          <w:szCs w:val="20"/>
          <w:color w:val="auto"/>
        </w:rPr>
      </w:pPr>
    </w:p>
    <w:p>
      <w:pPr>
        <w:ind w:left="1160" w:right="14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Possible fluctuations in the cost of construction, raw materials, commodities and drilling may materially and adversely affect our business, financial condition, future results, and cash flow.</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operations are dependent on the supply of various raw materials, including primarily steel and aluminum</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and industrial equipment components that we use. We generally obtain these materials and equipment at</w:t>
      </w:r>
    </w:p>
    <w:p>
      <w:pPr>
        <w:spacing w:after="0" w:line="11" w:lineRule="exact"/>
        <w:rPr>
          <w:sz w:val="20"/>
          <w:szCs w:val="20"/>
          <w:color w:val="auto"/>
        </w:rPr>
      </w:pPr>
    </w:p>
    <w:p>
      <w:pPr>
        <w:ind w:left="1160"/>
        <w:spacing w:after="0" w:line="161" w:lineRule="exact"/>
        <w:rPr>
          <w:sz w:val="20"/>
          <w:szCs w:val="20"/>
          <w:color w:val="auto"/>
        </w:rPr>
      </w:pPr>
      <w:r>
        <w:rPr>
          <w:rFonts w:ascii="Times New Roman" w:cs="Times New Roman" w:eastAsia="Times New Roman" w:hAnsi="Times New Roman"/>
          <w:sz w:val="14"/>
          <w:szCs w:val="14"/>
          <w:color w:val="auto"/>
        </w:rPr>
        <w:t>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prices through a mix of competitive bids and fixed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 contracts, and certain purchases are impacted</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by tariffs and logistics costs. We maintain multiple qualified suppliers across critical categories and are not broadly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spacing w:after="0" w:line="174" w:lineRule="exact"/>
        <w:rPr>
          <w:sz w:val="20"/>
          <w:szCs w:val="20"/>
          <w:color w:val="auto"/>
        </w:rPr>
      </w:pPr>
      <w:r>
        <w:rPr>
          <w:rFonts w:ascii="Times New Roman" w:cs="Times New Roman" w:eastAsia="Times New Roman" w:hAnsi="Times New Roman"/>
          <w:sz w:val="14"/>
          <w:szCs w:val="14"/>
          <w:color w:val="auto"/>
        </w:rPr>
        <w:t>dependent on any single supplier; however, certain specialized scopes such as the ORC turbines and associated equipment for specific projects are currently sourced primarily from Turboden and Baker Hughes. We do not maintain broad, ongoing framework supply agreements, but we do enter into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equipment and services contracts with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delivery schedules. Global events such as geopolitical conflicts (including conventional wars, trade wars and embargoes) have resulted in the extended shutdown of businesses in certain regions, causing delays in supply and increases in the cost of raw materials and components and higher transportation expenses. Our development activity is also impacted by supply delays and cost increases for raw materials and equipment, as well as by tariffs and taxes. Further cost increases of such raw materials, commodities and equipment, logistics, or increases in tariffs and taxes could adversely affect our profit margins and project schedules.</w:t>
      </w:r>
    </w:p>
    <w:p>
      <w:pPr>
        <w:spacing w:after="0" w:line="114"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mix of turnkey and cost plus construction contracts may increase our exposure to cost overruns, delays, and misalignment with our PPAs and financing.</w:t>
      </w:r>
    </w:p>
    <w:p>
      <w:pPr>
        <w:spacing w:after="0" w:line="7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have engaged multiple engineering, procurement and construction (“EPC”) counterparties for Cape Station Phase I under different commercial structures. Our EPC contracts include those for balance of plant (meaning the on-site civil, mechanical, electrical, controls, and other systems that support and integrate the facility other than the core process equipment and wells), transmission and distribution (meaning the interconnection and related electrical facilities outside the plant), and wellpad facilities (meaning the surface facilities that support the wells). We utilize a combination of (i) turnkey, fixed prices contracts under which the contractors are obligated to deliver defined scopes for a set price, subject to change orders and customary exclusion and (ii) cost plus contracts, which are inherently exposed to greater price variability.</w:t>
      </w:r>
    </w:p>
    <w:p>
      <w:pPr>
        <w:spacing w:after="0" w:line="103"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Even for the turnkey scopes, prices can change through approved change orders, allowances, and exclusions, and schedule risk remains if contractors underperform or if there are interface issues among EPCs. For the cost plus contracts, our exposure to actual costs may increase if estimates prove low or if scope, productivity, or market conditions change, even where budgets or targets are established. In each case, our contractual remedies may be limited by liability caps, exclusions of consequential damages, and other limitations, and may not align with our obligations under our PPAs, including COD requirements and availability or performance standards, or with covenants and milestones under our project financing. If EPC delays or underperformance occur, we could incur higher construction costs, miss COD or other contractual milestones in our PPAs, owe liquidated damages, experience reduced pricing or capacity, or face termination rights that could adversely affect our revenues, liquidity, and results of operations.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supply base may not be able to scale to the production levels necessary to meet sales projections.</w:t>
      </w:r>
    </w:p>
    <w:p>
      <w:pPr>
        <w:spacing w:after="0" w:line="144" w:lineRule="exact"/>
        <w:rPr>
          <w:sz w:val="20"/>
          <w:szCs w:val="20"/>
          <w:color w:val="auto"/>
        </w:rPr>
      </w:pPr>
    </w:p>
    <w:p>
      <w:pPr>
        <w:ind w:left="1160" w:right="1199" w:firstLine="258"/>
        <w:spacing w:after="0" w:line="174" w:lineRule="exact"/>
        <w:rPr>
          <w:sz w:val="20"/>
          <w:szCs w:val="20"/>
          <w:color w:val="auto"/>
        </w:rPr>
      </w:pPr>
      <w:r>
        <w:rPr>
          <w:rFonts w:ascii="Times New Roman" w:cs="Times New Roman" w:eastAsia="Times New Roman" w:hAnsi="Times New Roman"/>
          <w:sz w:val="14"/>
          <w:szCs w:val="14"/>
          <w:color w:val="auto"/>
        </w:rPr>
        <w:t>We do not have manufacturing assets and will rely on third party manufacturers and construction firms to build power plants, wellfields and associated equipment. Our growth strategy assumes that manufacturers of geothermal turbines, drilling equipment, and other critical components will expand capacity in line with our development pipeline. The existing supplier base for these highly specialized products is limited, and there is no assurance that it can scale production, workforce, or logistics to match sector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wide demand. If suppliers are unable or unwilling to increase output on the timelines and terms we require, we could face extended lead times, higher equipment and construction costs, and delays in reaching commercial operation, which could adversely affect our revenues, project returns, and ability to meet contractual milestones. Moreover, we are dependent on future supplier capability to meet production demands attendant to our forecasts. If our supply chain cannot meet the schedule demands of the market, our projected sales revenues could be materially impacted.</w:t>
      </w:r>
    </w:p>
    <w:p>
      <w:pPr>
        <w:spacing w:after="0" w:line="113"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development activities may not be successful and our projects under construction or facilities may encounter delays, which may impact our future growth.</w:t>
      </w:r>
    </w:p>
    <w:p>
      <w:pPr>
        <w:spacing w:after="0" w:line="7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are in the process of developing and constructing a number of new power plants. Our success in developing a project is contingent upon, among other things, negotiation of satisfactory engineering, construction, and procurement agreements and obtaining PPAs and transmission services agreements, receipt of required governmental permits (including environmental permits), obtaining adequate financing, and the timely implementation and satisfactory completion of field development, testing and power plant construction and commissioning. We may be unsuccessful in accomplishing any of these matters or doing so on a timely basis such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cases where we have to handle legal proceedings with respect to environmental permits. Although we may attempt to minimize the financial risks attributable to the development of a project by securing a favorable PPA and</w:t>
      </w:r>
    </w:p>
    <w:p>
      <w:pPr>
        <w:sectPr>
          <w:pgSz w:w="11900" w:h="16890" w:orient="portrait"/>
          <w:cols w:equalWidth="0" w:num="1">
            <w:col w:w="9019"/>
          </w:cols>
          <w:pgMar w:left="1440" w:top="146" w:right="1440" w:bottom="0" w:gutter="0" w:footer="0" w:header="0"/>
        </w:sectPr>
      </w:pPr>
    </w:p>
    <w:bookmarkStart w:id="38" w:name="page39"/>
    <w:bookmarkEnd w:id="38"/>
    <w:p>
      <w:pPr>
        <w:spacing w:after="0" w:line="85" w:lineRule="exact"/>
        <w:rPr>
          <w:sz w:val="20"/>
          <w:szCs w:val="20"/>
          <w:color w:val="auto"/>
        </w:rPr>
      </w:pPr>
    </w:p>
    <w:p>
      <w:pPr>
        <w:ind w:left="1160" w:right="1419"/>
        <w:spacing w:after="0" w:line="249" w:lineRule="auto"/>
        <w:rPr>
          <w:sz w:val="20"/>
          <w:szCs w:val="20"/>
          <w:color w:val="auto"/>
        </w:rPr>
      </w:pPr>
      <w:r>
        <w:rPr>
          <w:rFonts w:ascii="Times New Roman" w:cs="Times New Roman" w:eastAsia="Times New Roman" w:hAnsi="Times New Roman"/>
          <w:sz w:val="14"/>
          <w:szCs w:val="14"/>
          <w:color w:val="auto"/>
        </w:rPr>
        <w:t>applicable transmission services agreements, obtaining all required governmental permits and approvals and arranging, in certain cases, adequate financing prior to the commencement of construction, the development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both"/>
        <w:ind w:left="1160" w:right="1379"/>
        <w:spacing w:after="0" w:line="264" w:lineRule="auto"/>
        <w:rPr>
          <w:sz w:val="20"/>
          <w:szCs w:val="20"/>
          <w:color w:val="auto"/>
        </w:rPr>
      </w:pPr>
      <w:r>
        <w:rPr>
          <w:rFonts w:ascii="Times New Roman" w:cs="Times New Roman" w:eastAsia="Times New Roman" w:hAnsi="Times New Roman"/>
          <w:sz w:val="14"/>
          <w:szCs w:val="14"/>
          <w:color w:val="auto"/>
        </w:rPr>
        <w:t>power project may require us to incur significant expenses for preliminary engineering, permitting and legal and other expenses before we can determine whether a project is feasible, economically attractive or capable of being financed.</w:t>
      </w:r>
    </w:p>
    <w:p>
      <w:pPr>
        <w:spacing w:after="0" w:line="9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Currently, we have EGS projects and prospects under exploration, development or construction in the United States, and we intend to pursue the development of other new plants. Our completion of these facilities’ development and/or enhancement is subject to substantial risks, including:</w:t>
      </w:r>
    </w:p>
    <w:p>
      <w:pPr>
        <w:spacing w:after="0" w:line="93" w:lineRule="exact"/>
        <w:rPr>
          <w:sz w:val="20"/>
          <w:szCs w:val="20"/>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secure a PPA;</w:t>
      </w:r>
    </w:p>
    <w:p>
      <w:pPr>
        <w:spacing w:after="0" w:line="139" w:lineRule="exact"/>
        <w:rPr>
          <w:rFonts w:ascii="Times New Roman" w:cs="Times New Roman" w:eastAsia="Times New Roman" w:hAnsi="Times New Roman"/>
          <w:sz w:val="14"/>
          <w:szCs w:val="14"/>
          <w:color w:val="auto"/>
        </w:rPr>
      </w:pPr>
    </w:p>
    <w:p>
      <w:pPr>
        <w:ind w:left="1660" w:right="157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secure or delays in securing transmission and/or interconnection services agreements and related equipment and/or capacity;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secure the required financing;</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increases and delays due to unanticipated shortages of adequate resources to execute the project, such as equipment, material, and labor;</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resulting from force majeure events, including riots, strikes, or weather conditions;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permits, licenses, and other regulatory approvals;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satisfactorily complete field development and testing;</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secure sufficient land positions for the wellfield, power plant, and rights of way;</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key contractors and vendors to timely and properly perform, including where we use equipment manufactured by others;</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delays associated with switching to different suppliers or technologies and related integration risks;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environmental and geological conditions, including discoveries of contamination, protected plant or animal species or habitat, archaeological or cultural resources, or inclement weather conditions;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local business law;</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challenges and other opposition to our projects;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access to a stable and secure water supply;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attention to other projects and activities, including those in the energy storage sectors; and</w:t>
      </w:r>
    </w:p>
    <w:p>
      <w:pPr>
        <w:spacing w:after="0" w:line="139"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or policies that mandate, incentivize, or otherwise favor renewable energy sources.</w:t>
      </w:r>
    </w:p>
    <w:p>
      <w:pPr>
        <w:spacing w:after="0" w:line="77"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effectively manage our growth, our business, financial condition, and results of operations could be adversely affected.</w:t>
      </w:r>
    </w:p>
    <w:p>
      <w:pPr>
        <w:spacing w:after="0" w:line="7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operations, engineering, customer service, risk, sales, and marketing infrastructure. Our ability to manage our growth effectively and to integrate new technologies, personnel, and strategic acquisitions and priorities into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and other necessary personnel, and maintain customer and brand satisfaction.</w:t>
      </w:r>
    </w:p>
    <w:p>
      <w:pPr>
        <w:spacing w:after="0" w:line="97"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 As we scale GeoClusters and add multiple GeoBlocks over time, the complexity of simultaneous, repeatable deployments may exacerbate these risks.</w:t>
      </w:r>
    </w:p>
    <w:p>
      <w:pPr>
        <w:spacing w:after="0" w:line="93"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governmental agency budgets, policies and priorities, as well as staffing shortages at national laboratories and other governmental agencies, may lengthen our estimated timelines for regulatory approval and construction.</w:t>
      </w:r>
    </w:p>
    <w:p>
      <w:pPr>
        <w:spacing w:after="0" w:line="9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Certain of our wellfields and power plants are dependent upon collaborations with national laboratories and/or various regulatory approvals. In particular, many of our projects are located on, cross, or otherwise rely on access to lands administered by the BLM, and our development and operations depend on obtaining and maintaining BLM rights-of-way, leases, drilling and construction permits, and related approvals. Government agency budgets and staffing are driven by the priorities of leadership at federal agencies as well as policymakers. Changes in governmental agency budgets, personnel, and any resulting staffing shortages may delay our geothermal power plants and resource management facilities and delay or prevent the issuance of required regulatory approvals (e.g., permits or licenses) for our geothermal operations. Additionally, lapses in federal appropriations and related government shutdowns can suspend or significantly slow agency activities, including BLM processing of applications, consultations, and environmental reviews, which can halt field work, delay access to federal lands, and extend project schedules. These delays can impact our ability to commence or expand operations, affecting our revenue generation and growth prospects.</w:t>
      </w:r>
    </w:p>
    <w:p>
      <w:pPr>
        <w:spacing w:after="0" w:line="106"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 reliance on government collaboration and regulatory approval introduces a layer of uncertainty, as shifts in political priorities or budget allocations can alter the focus and efficiency of relevant agencies. If funding for environmental assessments or energy-related research is reduced, it may slow the progress of our projects and hinder technological advancements. Additionally, staffing shortages within regulatory bodies can lead to longer processing times for permits and licenses, creating bottlenecks that affect project timelines and operational planning. Our dependence on BLM-administered lands and approvals amplifies these risks because delays or disruptions at BLM</w:t>
      </w:r>
    </w:p>
    <w:p>
      <w:pPr>
        <w:sectPr>
          <w:pgSz w:w="11900" w:h="16923" w:orient="portrait"/>
          <w:cols w:equalWidth="0" w:num="1">
            <w:col w:w="9019"/>
          </w:cols>
          <w:pgMar w:left="1440" w:top="94" w:right="1440" w:bottom="0" w:gutter="0" w:footer="0" w:header="0"/>
        </w:sectPr>
      </w:pPr>
    </w:p>
    <w:bookmarkStart w:id="39" w:name="page40"/>
    <w:bookmarkEnd w:id="39"/>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—whether due to budget constraints, staffing shortages, or shutdowns can directly impede site access, surveying, drilling, construction and tie-in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-238760</wp:posOffset>
            </wp:positionV>
            <wp:extent cx="716026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Moreover, changes in government leadership or policy direction can result in new regulations or modifications to existing ones, requiring us to adapt our operations to remain compliant. This can involve additional costs and resources, further impacting our financial performance. Periods of continuing resolutions and government shutdowns may also defer rulemaking, pause interagency consultations (including those required under NEPA and related federal statutes), and postpone issuance of records of decision or permits needed for project advancement. As a result, maintaining strong relationships with government entities and staying informed about policy developments is crucial for navigating these challenges and ensuring the successful execution of our geothermal projects. Although certain federal and state policy developments may support geothermal development, such support may not be available or sufficient.</w:t>
      </w:r>
    </w:p>
    <w:p>
      <w:pPr>
        <w:spacing w:after="0" w:line="10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the recent change in the U.S. presidential administration increases regulatory ambiguity and the rate of change. In January 2025, President Donald Trump signed several Executive Orders specific to the energy industry which may signal a shift in the federal government’s approach to energy-related initiatives, policies, and regulations, and contain directives that, among other things, (i) encourage further domestic energy exploration and production, including on federal lands and waters, (ii) instruct federal agency and department officials to expedite the completion and authorization of various energy-related projects, (iii) promote the streamlining of various permitting processes at the federal level, and (iv) rescind and revise regulations that burden future energy development, identification, and production. Notably, the Trump administration specifically highlighted “geothermal heat” as one source of energy for increased domestic attention and production. However, we cannot currently make any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459"/>
        <w:spacing w:after="0" w:line="265" w:lineRule="auto"/>
        <w:rPr>
          <w:sz w:val="20"/>
          <w:szCs w:val="20"/>
          <w:color w:val="auto"/>
        </w:rPr>
      </w:pPr>
      <w:r>
        <w:rPr>
          <w:rFonts w:ascii="Times New Roman" w:cs="Times New Roman" w:eastAsia="Times New Roman" w:hAnsi="Times New Roman"/>
          <w:sz w:val="14"/>
          <w:szCs w:val="14"/>
          <w:color w:val="auto"/>
        </w:rPr>
        <w:t>assurance regarding the influence of the policies or political stances of the Trump administration or current U.S. Congress on our business. Relatedly, in recent years, specifically in the U.S., “anti-ESG” sentiment has gained momentum, with several states and Congress having proposed or enacted “anti-ESG” policies, legislation, or initiatives or issued related legal opinions. We cannot predict what, if any, impact such “anti-ESG” policies will have on our industry or our business specifically.</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could also face an increase in competition as a result of the energy transition, as new entrants of disruptive technologies and/or competitors, including in the solar, wind, nuclear and storage sectors, could adversely impact our ability to renew existing PPAs or sign new contracts. On the other hand, anti-ESG related policies, legislation, initiatives, litigation, legal opinions, and scrutiny could result in additional compliance obligations, us becoming the subject of investigations and enforcement actions, or sustaining reputational harm.</w:t>
      </w:r>
    </w:p>
    <w:p>
      <w:pPr>
        <w:spacing w:after="0" w:line="95" w:lineRule="exact"/>
        <w:rPr>
          <w:sz w:val="20"/>
          <w:szCs w:val="20"/>
          <w:color w:val="auto"/>
        </w:rPr>
      </w:pPr>
    </w:p>
    <w:p>
      <w:pPr>
        <w:ind w:left="1160" w:right="15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energy production by or availability of our power plants is less than expected, they may not be able to satisfy minimum production or availability requirement obligations under our PPAs.</w:t>
      </w:r>
    </w:p>
    <w:p>
      <w:pPr>
        <w:spacing w:after="0" w:line="77" w:lineRule="exact"/>
        <w:rPr>
          <w:sz w:val="20"/>
          <w:szCs w:val="20"/>
          <w:color w:val="auto"/>
        </w:rPr>
      </w:pPr>
    </w:p>
    <w:p>
      <w:pPr>
        <w:ind w:left="1160" w:right="1279" w:firstLine="258"/>
        <w:spacing w:after="0" w:line="259" w:lineRule="auto"/>
        <w:rPr>
          <w:sz w:val="20"/>
          <w:szCs w:val="20"/>
          <w:color w:val="auto"/>
        </w:rPr>
      </w:pPr>
      <w:r>
        <w:rPr>
          <w:rFonts w:ascii="Times New Roman" w:cs="Times New Roman" w:eastAsia="Times New Roman" w:hAnsi="Times New Roman"/>
          <w:sz w:val="14"/>
          <w:szCs w:val="14"/>
          <w:color w:val="auto"/>
        </w:rPr>
        <w:t>Energy production or a power plant’s availability could be less than expected due to various factors, including, but not limited to, resource degradation and/or our inability to artificially stimulate thermal reservoirs to offset any such degradation, natural disasters, equipment underperformance, operational issues, changes in law or regulations or actions taken by third parties. Our PPAs contain provisions that require us to produce a minimum amount of energy or be available to generate electricity at a given minimum percentage of time over periods specified in the PPAs. A failure to produce sufficient energy or to be sufficiently available for generation to meet our commitments under the PPAs could result in the payment of damages or the termination of PPAs and could have a material adverse effect on our business, financial condition, results of operations and ability to grow its business and make cash distributions to its shareholders. Our EGS approach is designed to provide baseload power independent of weather; however, engineered reservoir performance variability or extended outages of standardized ORC units could reduce output or availability.</w:t>
      </w:r>
    </w:p>
    <w:p>
      <w:pPr>
        <w:spacing w:after="0" w:line="108"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These contracts were executed at attractive prices, representing approximately $7.2 billion in potential revenue backlog. Backlog is calculated using expected energy output, as defined in each PPA, over the entire term of each PPA and reflects contracted pricing (including any escalators or indexation) and full counterparty performance, taking credit for all 658 megawatts of executed PPAs as of December 31, 2025. We are actively engaging energy buyers for additional capacity, which is not included in backlog. Backlog is an operating metric and may change based on project timing, production variability or curtailment, and potential contract amendments or termination.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customers or we may terminate our PPAs if certain conditions are not met or for other reasons.</w:t>
      </w:r>
    </w:p>
    <w:p>
      <w:pPr>
        <w:spacing w:after="0" w:line="144"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Each of our PPAs contains or will contain various termination rights allowing our current and future offtakers to terminate, or be relieved from their contractual obligations under, their PPAs under certain circumstances, including, without limitation:</w:t>
      </w:r>
    </w:p>
    <w:p>
      <w:pPr>
        <w:spacing w:after="0" w:line="93" w:lineRule="exact"/>
        <w:rPr>
          <w:sz w:val="20"/>
          <w:szCs w:val="20"/>
          <w:color w:val="auto"/>
        </w:rPr>
      </w:pPr>
    </w:p>
    <w:p>
      <w:pPr>
        <w:ind w:left="1660" w:right="1359" w:hanging="249"/>
        <w:spacing w:after="0" w:line="274" w:lineRule="auto"/>
        <w:tabs>
          <w:tab w:leader="none" w:pos="1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certain PPAs, the failure of conditions precedent to be satisfied or waived by a specified date, or delays in the beginning of construction of the applicable project or occurrence of COD beyond a specified time period;</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deliver certain megawatts at certain reliability levels;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certain extended events of force majeure;</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been held liable in excess of certain liability caps and we did not agree to increase such liability caps as specified under the relevant PPA;</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satisfy our contractual obligations under the applicable PPA;</w:t>
      </w:r>
    </w:p>
    <w:p>
      <w:pPr>
        <w:spacing w:after="0" w:line="140" w:lineRule="exact"/>
        <w:rPr>
          <w:sz w:val="20"/>
          <w:szCs w:val="20"/>
          <w:color w:val="auto"/>
        </w:rPr>
      </w:pPr>
    </w:p>
    <w:p>
      <w:pPr>
        <w:ind w:left="1420"/>
        <w:spacing w:after="0"/>
        <w:tabs>
          <w:tab w:leader="none" w:pos="1640" w:val="left"/>
          <w:tab w:leader="none" w:pos="3180" w:val="left"/>
        </w:tabs>
        <w:rPr>
          <w:sz w:val="20"/>
          <w:szCs w:val="20"/>
          <w:color w:val="auto"/>
        </w:rPr>
      </w:pPr>
      <w:r>
        <w:rPr>
          <w:rFonts w:ascii="Times New Roman" w:cs="Times New Roman" w:eastAsia="Times New Roman" w:hAnsi="Times New Roman"/>
          <w:sz w:val="14"/>
          <w:szCs w:val="14"/>
          <w:color w:val="auto"/>
        </w:rPr>
        <w:t>•</w:t>
        <w:tab/>
        <w:t>if we fail to maintain</w:t>
      </w:r>
      <w:r>
        <w:rPr>
          <w:sz w:val="20"/>
          <w:szCs w:val="20"/>
          <w:color w:val="auto"/>
        </w:rPr>
        <w:tab/>
      </w:r>
      <w:r>
        <w:rPr>
          <w:rFonts w:ascii="Times New Roman" w:cs="Times New Roman" w:eastAsia="Times New Roman" w:hAnsi="Times New Roman"/>
          <w:sz w:val="14"/>
          <w:szCs w:val="14"/>
          <w:color w:val="auto"/>
        </w:rPr>
        <w:t>adequate interconnection or transmission rights required to meet delivery</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requirements under the relevant PPA;</w:t>
      </w:r>
    </w:p>
    <w:p>
      <w:pPr>
        <w:sectPr>
          <w:pgSz w:w="11900" w:h="16838" w:orient="portrait"/>
          <w:cols w:equalWidth="0" w:num="1">
            <w:col w:w="9019"/>
          </w:cols>
          <w:pgMar w:left="1440" w:top="125"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125" w:right="1440" w:bottom="416" w:gutter="0" w:footer="0" w:header="0"/>
          <w:type w:val="continuous"/>
        </w:sectPr>
      </w:pPr>
    </w:p>
    <w:bookmarkStart w:id="40" w:name="page41"/>
    <w:bookmarkEnd w:id="40"/>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619" w:hanging="249"/>
        <w:spacing w:after="0" w:line="292" w:lineRule="auto"/>
        <w:tabs>
          <w:tab w:leader="none" w:pos="1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satisfy our contractual obligations after an event of default and after any applicable cure periods;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certain change of control events.</w:t>
      </w:r>
    </w:p>
    <w:p>
      <w:pPr>
        <w:spacing w:after="0" w:line="140" w:lineRule="exact"/>
        <w:rPr>
          <w:sz w:val="20"/>
          <w:szCs w:val="20"/>
          <w:color w:val="auto"/>
        </w:rPr>
      </w:pPr>
    </w:p>
    <w:p>
      <w:pPr>
        <w:ind w:left="1160" w:right="1299" w:firstLine="258"/>
        <w:spacing w:after="0" w:line="259" w:lineRule="auto"/>
        <w:rPr>
          <w:sz w:val="20"/>
          <w:szCs w:val="20"/>
          <w:color w:val="auto"/>
        </w:rPr>
      </w:pPr>
      <w:r>
        <w:rPr>
          <w:rFonts w:ascii="Times New Roman" w:cs="Times New Roman" w:eastAsia="Times New Roman" w:hAnsi="Times New Roman"/>
          <w:sz w:val="14"/>
          <w:szCs w:val="14"/>
          <w:color w:val="auto"/>
        </w:rPr>
        <w:t>Our failure to meet these milestones and other criteria, including minimum quantities, may result in price concessions and may result in the termination of our PPAs, in which case we would lose any future cash flow from the relevant project and may be required to pay fees and penalties to our counterparty. Specifically, with respect to project completion risk, if we do not commence operations under our PPA on Cape Station Phase I (Unit 1) by October 1, 2026, Cape Station Phase I (Units 2-3) by January 1, 2027, and Cape Station Phase II by June 1, 2028, we will incur liquidated damages under the provisions of the applicable PPA. If we do not commence operations within six months of the applicable PPA COD deadline, our counterparty has the right to terminate the contract. If our PPAs are terminated, it could materially and adversely affect the development of our geothermal power plants, our results of operations, and cash flow unless we are able to replace the PPA on similar terms. Additionally, we cannot assure you that we will be able to perform our obligations under such agreements or that we will have sufficient funds to pay any fees or penalties thereunder.</w:t>
      </w:r>
    </w:p>
    <w:p>
      <w:pPr>
        <w:spacing w:after="0" w:line="104" w:lineRule="exact"/>
        <w:rPr>
          <w:sz w:val="20"/>
          <w:szCs w:val="20"/>
          <w:color w:val="auto"/>
        </w:rPr>
      </w:pPr>
    </w:p>
    <w:p>
      <w:pPr>
        <w:ind w:left="1160" w:right="1419"/>
        <w:spacing w:after="0" w:line="178" w:lineRule="exact"/>
        <w:rPr>
          <w:sz w:val="20"/>
          <w:szCs w:val="20"/>
          <w:color w:val="auto"/>
        </w:rPr>
      </w:pPr>
      <w:r>
        <w:rPr>
          <w:rFonts w:ascii="Times New Roman" w:cs="Times New Roman" w:eastAsia="Times New Roman" w:hAnsi="Times New Roman"/>
          <w:sz w:val="14"/>
          <w:szCs w:val="14"/>
          <w:b w:val="1"/>
          <w:bCs w:val="1"/>
          <w:i w:val="1"/>
          <w:iCs w:val="1"/>
          <w:color w:val="auto"/>
        </w:rPr>
        <w:t>Our PPAs contain terms that could limit revenues and expose us to transmission, pricing, and regulatory approval risks. If these risks materialize, our ability to meet projections and service project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level debt could be materially and adversely affected.</w:t>
      </w:r>
    </w:p>
    <w:p>
      <w:pPr>
        <w:spacing w:after="0" w:line="117" w:lineRule="exact"/>
        <w:rPr>
          <w:sz w:val="20"/>
          <w:szCs w:val="20"/>
          <w:color w:val="auto"/>
        </w:rPr>
      </w:pPr>
    </w:p>
    <w:p>
      <w:pPr>
        <w:ind w:left="1160" w:right="1219" w:firstLine="258"/>
        <w:spacing w:after="0" w:line="174" w:lineRule="exact"/>
        <w:rPr>
          <w:sz w:val="20"/>
          <w:szCs w:val="20"/>
          <w:color w:val="auto"/>
        </w:rPr>
      </w:pPr>
      <w:r>
        <w:rPr>
          <w:rFonts w:ascii="Times New Roman" w:cs="Times New Roman" w:eastAsia="Times New Roman" w:hAnsi="Times New Roman"/>
          <w:sz w:val="14"/>
          <w:szCs w:val="14"/>
          <w:color w:val="auto"/>
        </w:rPr>
        <w:t>Under our PPAs, including those with Southern California Edison, we are required to deliver product from our interconnection point to designated delivery points on the applicable transmission system and to secure firm, end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end transmission along that path. We bear the risk that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interconnection or transmission arrangements are curtailed, modified, not renewed, or terminated, that network upgrades, import capability, or market design changes impair deliverability, or that congestion curtailments occur, which may not qualify as Force Majeure under our contracts. If deliverability is impaired or lost, we could incur default exposure, liquidated damages, or replacement costs, be required to secure alternative transmission at our expense, or face termination rights by our offtakers. Because certain of our PPAs are large,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offtake commitments that are central to our projected cash flows and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financing covenants, any impairment to end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end deliverability, interconnection capacity, or transmission rights could materially and adversely affect our business and financing.</w:t>
      </w:r>
    </w:p>
    <w:p>
      <w:pPr>
        <w:spacing w:after="0" w:line="117"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Our exposure under these PPAs also relates to development milestones, initial delivery requirements, and performance testing. Many PPAs require adherence to critical path milestones, allow only limited extensions of expected initial delivery dates (often with daily delay liquidated damages), and impose deadlines by which commercial operation must be achieved. As conditions to initial delivery, we typically must demonstrate a minimum percentage of expected contract capacity and satisfy certifications, interconnection, and market participation criteria established by the applicable market operator and regulatory authorities. Failure to timely achieve commercial operation or to demonstrate the required capacity can trigger delay liquidated damages, capacity adjustments, events of default, or termination rights. Additionally, if capacity factors or availability fall below specified thresholds, or if we are unable to schedule to the delivery point for extended periods, we may face default exposure or be required to implement recovery plans on compressed timelines at our expense.</w:t>
      </w:r>
    </w:p>
    <w:p>
      <w:pPr>
        <w:spacing w:after="0" w:line="103" w:lineRule="exact"/>
        <w:rPr>
          <w:sz w:val="20"/>
          <w:szCs w:val="20"/>
          <w:color w:val="auto"/>
        </w:rPr>
      </w:pPr>
    </w:p>
    <w:p>
      <w:pPr>
        <w:ind w:left="1160" w:right="1199" w:firstLine="258"/>
        <w:spacing w:after="0" w:line="174" w:lineRule="exact"/>
        <w:rPr>
          <w:sz w:val="20"/>
          <w:szCs w:val="20"/>
          <w:color w:val="auto"/>
        </w:rPr>
      </w:pPr>
      <w:r>
        <w:rPr>
          <w:rFonts w:ascii="Times New Roman" w:cs="Times New Roman" w:eastAsia="Times New Roman" w:hAnsi="Times New Roman"/>
          <w:sz w:val="14"/>
          <w:szCs w:val="14"/>
          <w:color w:val="auto"/>
        </w:rPr>
        <w:t>Many of our PPAs employ a fixed product price construct and contain asymmetric production and pricing mechanics. Deliveries above expected annual net energy production may be subject to caps and pricing adjustments, with positive market revenues for over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production sometimes retained by the offtaker. Conversely, if we deliver less than a specified percentage of expected annual net energy production (net of qualifying lost output), we owe liquidated damages based on contractual formulas. Together, these terms limit upside in strong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production periods while preserving exposure to adverse pricing, congestion, and basis movements between our scheduling points and delivery points, and they may require us to absorb performance shortfalls through market purchases or liquidated damages.</w:t>
      </w:r>
    </w:p>
    <w:p>
      <w:pPr>
        <w:spacing w:after="0" w:line="11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Many of our PPAs require external approvals and extensive ongoing compliance. Certain agreements are subject to regulatory approvals as conditions precedent, with either party sometimes entitled to terminate if approval is not timely obtained on acceptable terms. We must maintain required certifications, participate in the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175" w:lineRule="exact"/>
        <w:rPr>
          <w:sz w:val="20"/>
          <w:szCs w:val="20"/>
          <w:color w:val="auto"/>
        </w:rPr>
      </w:pPr>
      <w:r>
        <w:rPr>
          <w:rFonts w:ascii="Times New Roman" w:cs="Times New Roman" w:eastAsia="Times New Roman" w:hAnsi="Times New Roman"/>
          <w:sz w:val="14"/>
          <w:szCs w:val="14"/>
          <w:color w:val="auto"/>
        </w:rPr>
        <w:t>market, comply with reliability standards, post and maintain development and performance security, and comply with capacity accreditation or resource adequacy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type obligations, including must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offer or supply plan submissions. The agreements contemplate potential changes to accreditation methodologies and broader market design changes. While the contracts may provide for amendments or limited cost caps in certain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scenarios, we bear the risk that compliance actions, reduced capacity accreditation, or market design adjustments diminish revenues or increase costs. Some PPAs also restrict our ability to remarket output following certain terminations for a defined period and may grant an offtaker a right of first offer on replacement transactions, which could constrain mitigation strategies and cash flows after termination. Finally, fixed product prices in certain PPAs reflect assumed federal, state, or local tax incentives; prices may not adjust for our eligibility or ineligibility for such incentives, which could limit our ability to offset cost or rule changes through contract pricing. If termination or default rights are exercised, if curtailment is sustained, if we fail to obtain or maintain firm end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end transmission, interconnection capacity, and required approvals, or if we miss development or performance thresholds, our revenues could be materially reduced, our costs could increase, and we could fail to satisfy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financing covenants.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As our contracts expire, we may not be able to renew them or replace them with agreements on similar terms.</w:t>
      </w:r>
    </w:p>
    <w:p>
      <w:pPr>
        <w:spacing w:after="0" w:line="144"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Certain contracts in our portfolio will be subject to re-contracting in the future. For example, the average remaining term of our existing PPAs was approximately 15 years as of December 31, 2025. If prices in our market change at the time of such re-contracting, it may impact our ability to re-negotiate or replace these contracts on terms that are acceptable to us, or at all. In addition, a concentrated pool of potential buyers for our products and services may restrict our ability to negotiate favorable terms under new contracts or existing contracts that are subject to re-contracting.</w:t>
      </w:r>
    </w:p>
    <w:p>
      <w:pPr>
        <w:spacing w:after="0" w:line="10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We cannot provide any assurance that we will be able to re-negotiate or replace these contracts once they expire, and even if we are able to do so, we cannot provide any assurance that we will be able to obtain the same</w:t>
      </w:r>
    </w:p>
    <w:p>
      <w:pPr>
        <w:sectPr>
          <w:pgSz w:w="11900" w:h="16880" w:orient="portrait"/>
          <w:cols w:equalWidth="0" w:num="1">
            <w:col w:w="9019"/>
          </w:cols>
          <w:pgMar w:left="1440" w:top="157" w:right="1440" w:bottom="0" w:gutter="0" w:footer="0" w:header="0"/>
        </w:sectPr>
      </w:pPr>
    </w:p>
    <w:bookmarkStart w:id="41" w:name="page42"/>
    <w:bookmarkEnd w:id="41"/>
    <w:p>
      <w:pPr>
        <w:ind w:left="1160" w:right="1399"/>
        <w:spacing w:after="0" w:line="243" w:lineRule="auto"/>
        <w:rPr>
          <w:sz w:val="20"/>
          <w:szCs w:val="20"/>
          <w:color w:val="auto"/>
        </w:rPr>
      </w:pPr>
      <w:r>
        <w:rPr>
          <w:rFonts w:ascii="Times New Roman" w:cs="Times New Roman" w:eastAsia="Times New Roman" w:hAnsi="Times New Roman"/>
          <w:sz w:val="14"/>
          <w:szCs w:val="14"/>
          <w:color w:val="auto"/>
        </w:rPr>
        <w:t>prices or terms we currently receive. Our inability to re-negotiate or replace these contracts, or to secure prices at least equal to the current prices we receive, could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-177165</wp:posOffset>
            </wp:positionV>
            <wp:extent cx="716026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9"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Certain of our PPAs require us to satisfy fixed minimum performance and availability standards tied to renewable portfolio standard compliance, and failure to meet those fixed requirements may result in liquidated damages, loss of REC value, capacity de-rates or termination.</w:t>
      </w:r>
    </w:p>
    <w:p>
      <w:pPr>
        <w:spacing w:after="0" w:line="60" w:lineRule="exact"/>
        <w:rPr>
          <w:sz w:val="20"/>
          <w:szCs w:val="20"/>
          <w:color w:val="auto"/>
        </w:rPr>
      </w:pPr>
    </w:p>
    <w:p>
      <w:pPr>
        <w:ind w:left="1160" w:right="1199" w:firstLine="258"/>
        <w:spacing w:after="0" w:line="177" w:lineRule="exact"/>
        <w:rPr>
          <w:sz w:val="20"/>
          <w:szCs w:val="20"/>
          <w:color w:val="auto"/>
        </w:rPr>
      </w:pPr>
      <w:r>
        <w:rPr>
          <w:rFonts w:ascii="Times New Roman" w:cs="Times New Roman" w:eastAsia="Times New Roman" w:hAnsi="Times New Roman"/>
          <w:sz w:val="14"/>
          <w:szCs w:val="14"/>
          <w:color w:val="auto"/>
        </w:rPr>
        <w:t>Under certain of our PPAs with investor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and publicly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utilities in RPS states, we are obligated to meet defined minimum performance and availability thresholds over specified measurement periods for the associated energy and renewable energy credits. These contractual thresholds are fixed requirements that do not automatically adjust for subsequent changes in broader RPS programs and are separate from any evolving market rules. If our plants underperform relative to those fixed minimums, whether due to outages, resource variability, curtailments, or other factors, we may be required to make payments or credits for shortfalls, we could experience permanent reductions to contracted capacity, and counterparties could in certain cases exercise termination rights. In addition, if REC delivery falls below contracted amounts, we may be exposed to liquidated damages or replacement obligations. Any such outcomes could materially and adversely affect our revenues, margins and cash flows.</w:t>
      </w:r>
    </w:p>
    <w:p>
      <w:pPr>
        <w:spacing w:after="0" w:line="115" w:lineRule="exact"/>
        <w:rPr>
          <w:sz w:val="20"/>
          <w:szCs w:val="20"/>
          <w:color w:val="auto"/>
        </w:rPr>
      </w:pPr>
    </w:p>
    <w:p>
      <w:pPr>
        <w:jc w:val="both"/>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do not own the land on which the projects are located, and our use and enjoyment of the property may be adversely affected to the extent that there are any lienholders or land rights holders that have rights that are superior to our rights or the Bureau of Land Management suspends its federal right-of-way grants.</w:t>
      </w:r>
    </w:p>
    <w:p>
      <w:pPr>
        <w:spacing w:after="0" w:line="9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do not own the land on which the projects in our portfolio are located and they generally are, and its future projects may be, located on land occupied under long-term easements, leases and rights-of-way. As of December 31, 2025, approximately 66% of our acreage was located on land owned by the United States federal government, 6% was located on state lands, and 28% was located on privately-owned land. As of December 31, 2025, our easements, leases and rights-of-way had a weighted average remaining term of approximately 7 years with scheduled expirations of approximately 6% in years 2026 to 2028, 55% in years 2029 to 2031, and 39% thereafter, in each case excluding any unexercised renewal options. A majority of our leases are issued by the BLM and include renewal options exercisable at our discretion. The standard BLM lease provides an initial ten-year term followed by two five-year renewal options. We currently anticipate exercising renewal options for our leases, including those with near-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spacing w:after="0" w:line="268" w:lineRule="auto"/>
        <w:rPr>
          <w:sz w:val="20"/>
          <w:szCs w:val="20"/>
          <w:color w:val="auto"/>
        </w:rPr>
      </w:pPr>
      <w:r>
        <w:rPr>
          <w:rFonts w:ascii="Times New Roman" w:cs="Times New Roman" w:eastAsia="Times New Roman" w:hAnsi="Times New Roman"/>
          <w:sz w:val="14"/>
          <w:szCs w:val="14"/>
          <w:color w:val="auto"/>
        </w:rPr>
        <w:t>term scheduled expirations in 2026 to 2028, and we do not expect any material lease expirations in the near term. Additionally, these BLM leases contain acreage that is subject to extension provided certain conditions are met, including a minimum amount of expenditures per acre and the provision of certain geologic information to the BLM, which enables us to extend the lease term for as long as we continue to meet such conditions.</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ownership interests in the land subject to these easements, leases and rights-of-way may be subject to mortgages securing loans or other liens and other easements, lease rights and rights-of-way of third parties that were created prior to our projects’ easements, leases and rights-of-way. As a result, some of our projects’ rights under such easements, leases or rights-of-way may be subject to the rights of these third parties. While the Company performs title searches, records its interests in the real property records of the projects’ localities and enters into non-disturbance agreements to protect itself against these risks, such measures may be inadequate to protect against all risk that our rights to use the land on which its projects are or will be located and its projects’ rights to such easements, leases and rights-of-way could be lost or curtailed. Additionally, our operations located on properties owned by others are subject to termination for violation of the terms and conditions of the various easements, leases or rights-of-way under which such operations are conducted.</w:t>
      </w:r>
    </w:p>
    <w:p>
      <w:pPr>
        <w:spacing w:after="0" w:line="10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Further, our activities conducted under federal rights-of-way grants are subject to “immediate temporary suspension” of unspecified duration, at any time, at the discretion of the Bureau of Land Management (“BLM”). A suspension of activities within a federal right-of-way may be issued by the BLM to protect public health or safety or the environment. An order to suspend activities may be issued by the BLM prior to an administrative proceeding. Such an order may be issued verbally or in writing and may require immediate compliance. Any violation of such an order could result in the loss or curtailment of our rights to use any federal land on which its projects are or will be located.</w:t>
      </w:r>
    </w:p>
    <w:p>
      <w:pPr>
        <w:spacing w:after="0" w:line="277" w:lineRule="exact"/>
        <w:rPr>
          <w:sz w:val="20"/>
          <w:szCs w:val="20"/>
          <w:color w:val="auto"/>
        </w:rPr>
      </w:pPr>
    </w:p>
    <w:p>
      <w:pPr>
        <w:ind w:left="1160" w:right="1319" w:firstLine="258"/>
        <w:spacing w:after="0" w:line="266" w:lineRule="auto"/>
        <w:rPr>
          <w:sz w:val="20"/>
          <w:szCs w:val="20"/>
          <w:color w:val="auto"/>
        </w:rPr>
      </w:pPr>
      <w:r>
        <w:rPr>
          <w:rFonts w:ascii="Times New Roman" w:cs="Times New Roman" w:eastAsia="Times New Roman" w:hAnsi="Times New Roman"/>
          <w:sz w:val="14"/>
          <w:szCs w:val="14"/>
          <w:color w:val="auto"/>
        </w:rPr>
        <w:t>Our exposure to these risks is heightened because a portion of our contracted revenue backlog is tied to utility counterparties whose PPAs depend on the continued operation of projects located on such lands. As of December</w:t>
      </w:r>
    </w:p>
    <w:p>
      <w:pPr>
        <w:spacing w:after="0" w:line="1" w:lineRule="exact"/>
        <w:rPr>
          <w:sz w:val="20"/>
          <w:szCs w:val="20"/>
          <w:color w:val="auto"/>
        </w:rPr>
      </w:pPr>
    </w:p>
    <w:p>
      <w:pPr>
        <w:ind w:left="1160" w:right="1159"/>
        <w:spacing w:after="0" w:line="261" w:lineRule="auto"/>
        <w:rPr>
          <w:sz w:val="20"/>
          <w:szCs w:val="20"/>
          <w:color w:val="auto"/>
        </w:rPr>
      </w:pPr>
      <w:r>
        <w:rPr>
          <w:rFonts w:ascii="Times New Roman" w:cs="Times New Roman" w:eastAsia="Times New Roman" w:hAnsi="Times New Roman"/>
          <w:sz w:val="14"/>
          <w:szCs w:val="14"/>
          <w:color w:val="auto"/>
        </w:rPr>
        <w:t>31, 2025, we had PPAs with several utilities, representing approximately $5.7 billion of our approximately $7.2 billion contracted backlog revenue. Any loss or curtailment of our rights to use project lands as a result of any lienholders or land rights holders with superior rights, or any BLM suspension of federal rights-of-way grants, could therefore result in delays, penalties, or defaults under such PPAs and materially reduce our expected backlog realization.</w:t>
      </w:r>
    </w:p>
    <w:p>
      <w:pPr>
        <w:spacing w:after="0" w:line="27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Any such loss or curtailment of our rights to use the land on which its projects are or will be located as a result of any lienholders or leaseholders that have rights that are superior to our rights or the BLM’s suspension of its federal rights-of-way grants could have a material adverse effect on our business, financial condition, results of operations and ability to grow its business and make cash distributions to its unitholders. In certain instances, rights-of-way may be subordinate to the rights of government agencies, which could result in costs or interruptions to our service. Restrictions on our ability to use rights-of-way could have a material adverse effect on our business, financial condition, results of operations and ability to grow our business and make cash distributions to unitholders.</w:t>
      </w:r>
    </w:p>
    <w:p>
      <w:pPr>
        <w:spacing w:after="0" w:line="97"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secure additional geothermal lease rights at reasonable cost is uncertain and could constrain our growth and increase our development costs.</w:t>
      </w:r>
    </w:p>
    <w:p>
      <w:pPr>
        <w:spacing w:after="0" w:line="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As of December 31, 2025, we held approximately 595,900 acres of geothermal leasehold interests across seven jurisdictions, including California, Colorado, Idaho, Nevada, New Mexico, Utah and Washington, consisting of approximately 65.6% federal leases and approximately 34.4% state or private leases, and a majority of our leases have a 10-year initial term, and in most cases, extension options. Our growth strategy depends on our ability to add to this lease position on acceptable terms. Geothermal lease auctions and negotiated lease processes are becoming more competitive as interest in geothermal development increases among incumbent energy companies, independent developers, and financial investors. We may be out-competed by better-capitalized counterparties—including large integrated energy companies and “super majors” that can bid more aggressively, accept more burdensome terms, or move more quickly in lease processes. Greater competition for attractive acreage could result in higher bonus bids, rentals, royalties, work commitments, or other burdensome lease terms, as well as longer lead times to secure rights. As a result, we may be unable to secure prospective acreage in our target areas, or may be forced to accept higher-cost or less favorable terms than those assumed in our business plan. Moreover, we assembled our current position at</w:t>
      </w:r>
    </w:p>
    <w:p>
      <w:pPr>
        <w:sectPr>
          <w:pgSz w:w="11900" w:h="16838" w:orient="portrait"/>
          <w:cols w:equalWidth="0" w:num="1">
            <w:col w:w="9019"/>
          </w:cols>
          <w:pgMar w:left="1440" w:top="94" w:right="1440" w:bottom="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a weighted average of approximately $4 per acre during a period of minimal competition between 2019 and 2021, in sharp contrast to current U.S. Bureau of Land Management lease sales in Utah and Nevada, where maximum bids reached $344 and $410 per acre, respectively, in 2025. There is no assurance that we will be able to obtain additional lease rights in the locations, quantities, timing, or at the cost we anticipate, or at all. If we are unable to expand or maintain our lease position at competitive prices, our project pipeline, drilling schedule, and long-term growth plans could be delayed, downsized, or otherwise adversely affected, and our capital intensity and unit costs could increase materially.</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Access to geothermal lease opportunities also varies by jurisdiction. Federal, state, and local frameworks for geothermal leasing are not uniform, and not all U.S. states actively administer geothermal lease programs or conduct regular lease sales. In some jurisdictions, enabling statutes, implementing regulations, environmental review timelines, or administrative capacity remain nascent or subject to change, and the timing, frequency, and terms of lease offerings are uncertain. In addition, evolving policy priorities, land-use constraints, and competing resource uses can limit the availability of prospective acreage or impose restrictions that diminish the value of leaseholds. Any reduction in the availability of lease opportunities, or any tightening of lease terms or approval requirements, could reduce our ability to assemble contiguous positions, increase our costs and timelines, and impair our ability to develop projects at the scale and pace contemplated by our business plan.</w:t>
      </w:r>
    </w:p>
    <w:p>
      <w:pPr>
        <w:spacing w:after="0" w:line="102"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exploration, development, and operation of geothermal energy resources are subject to geological risks and uncertainties, which may result in decreased performance or increased costs for our power plants.</w:t>
      </w:r>
    </w:p>
    <w:p>
      <w:pPr>
        <w:spacing w:after="0" w:line="77" w:lineRule="exact"/>
        <w:rPr>
          <w:sz w:val="20"/>
          <w:szCs w:val="20"/>
          <w:color w:val="auto"/>
        </w:rPr>
      </w:pPr>
    </w:p>
    <w:p>
      <w:pPr>
        <w:ind w:left="1160" w:right="1259" w:firstLine="258"/>
        <w:spacing w:after="0" w:line="174" w:lineRule="exact"/>
        <w:rPr>
          <w:sz w:val="20"/>
          <w:szCs w:val="20"/>
          <w:color w:val="auto"/>
        </w:rPr>
      </w:pPr>
      <w:r>
        <w:rPr>
          <w:rFonts w:ascii="Times New Roman" w:cs="Times New Roman" w:eastAsia="Times New Roman" w:hAnsi="Times New Roman"/>
          <w:sz w:val="14"/>
          <w:szCs w:val="14"/>
          <w:color w:val="auto"/>
        </w:rPr>
        <w:t>Our primary business involves the exploration, development, and operation of geothermal energy resources within large, contiguous hubs we refer to as GeoClusters, where we deploy modular 50-megawatt GeoBlocks using binary,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technology. These activities are subject to uncertainties that, in certain respects, are similar to those typically associated with oil and gas exploration, development, and exploitation, including uncertainty and heterogeneity in reservoir properties such as pressure, temperature, permeability, porosity, lithology, stress, fluid saturation, fluid chemistry, and reservoir quality in general. Any of these uncertainties may increase our capital expenditures and our operating costs or reduce the efficiency of our power plants over time. We may not find resources capable of supporting a commercially viable power plant at exploration sites where we have conducted tests, acquired land rights, and drilled test wells, which would adversely affect our development of geothermal power plants.</w:t>
      </w:r>
    </w:p>
    <w:p>
      <w:pPr>
        <w:spacing w:after="0" w:line="117" w:lineRule="exact"/>
        <w:rPr>
          <w:sz w:val="20"/>
          <w:szCs w:val="20"/>
          <w:color w:val="auto"/>
        </w:rPr>
      </w:pPr>
    </w:p>
    <w:p>
      <w:pPr>
        <w:ind w:left="1160" w:right="1179" w:firstLine="258"/>
        <w:spacing w:after="0" w:line="173" w:lineRule="exact"/>
        <w:rPr>
          <w:sz w:val="20"/>
          <w:szCs w:val="20"/>
          <w:color w:val="auto"/>
        </w:rPr>
      </w:pPr>
      <w:r>
        <w:rPr>
          <w:rFonts w:ascii="Times New Roman" w:cs="Times New Roman" w:eastAsia="Times New Roman" w:hAnsi="Times New Roman"/>
          <w:sz w:val="14"/>
          <w:szCs w:val="14"/>
          <w:color w:val="auto"/>
        </w:rPr>
        <w:t>Further, while Project Red has produced consistent, stable temperature output and has not exhibited the type of thermal decline observed at many conventional geothermal projects, geothermal resources are complex geological structures and their geographic extent and sustainable output can only be estimated. Our geothermal energy power plants may suffer an unexpected decline in the capacity of their respective geothermal wells and are exposed to a risk of geothermal resources not being sufficient for sustained generation of the electrical power capacity desired over time. If well performance degradation occurs due to any of (or a combination of) premature thermal decline, production rate decline, changes in injectivity or variations in productivity, and we are unable to efficiently stimulate the thermal resource to offset such declines, we may be forced to write down the value of affected assets, incur impairment charges, or invest significant additional capital to restore or maintain output, including redesigning engineered reservoirs or drilling additional laterals to meet standardized GeoBlock requirements. This could lead to reduced revenues, increased operating costs, and diminished returns on investment, adversely affecting our business, financial condition, and results of operations. Furthermore, the perception of geothermal resource instability could impact our ability to secure project finance and binding offtake with investment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grade counterparties, as stakeholders may view our projects as riskier than those of competitors with more stable resources.</w:t>
      </w:r>
    </w:p>
    <w:p>
      <w:pPr>
        <w:spacing w:after="0" w:line="121" w:lineRule="exact"/>
        <w:rPr>
          <w:sz w:val="20"/>
          <w:szCs w:val="20"/>
          <w:color w:val="auto"/>
        </w:rPr>
      </w:pPr>
    </w:p>
    <w:p>
      <w:pPr>
        <w:ind w:left="1160" w:right="1179" w:firstLine="258"/>
        <w:spacing w:after="0" w:line="174" w:lineRule="exact"/>
        <w:rPr>
          <w:sz w:val="20"/>
          <w:szCs w:val="20"/>
          <w:color w:val="auto"/>
        </w:rPr>
      </w:pPr>
      <w:r>
        <w:rPr>
          <w:rFonts w:ascii="Times New Roman" w:cs="Times New Roman" w:eastAsia="Times New Roman" w:hAnsi="Times New Roman"/>
          <w:sz w:val="14"/>
          <w:szCs w:val="14"/>
          <w:color w:val="auto"/>
        </w:rPr>
        <w:t>Another aspect of geothermal operations is the management and stabilization of subsurface impacts, including ground subsidence or inflation, related to reservoir creation and injection. Inflation and subsidence, if not controlled, can adversely affect agricultural operations and infrastructure at or near the land surface, prompt new permit conditions or setback requirements, result in curtailments that impair our ability to perform under affected PPAs, and increase potential exposure to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claims. We employ high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fidelity monitoring—including permanent fiber optics and advanced computational modeling to optimize well placement, stimulation programs, and thermal drawdown management across standardized GeoBlocks. Despite these measures, the inherent uncertainty of engineered reservoir performance remains a material risk to sustained output at targeted nameplate capacities.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estimates of capacity potential and underlying estimates of HIIP are inherently uncertain, do not consider technological, commercial or economic viability, and should not be viewed as a measure of estimated future production or generation capacity.</w:t>
      </w:r>
    </w:p>
    <w:p>
      <w:pPr>
        <w:spacing w:after="0" w:line="9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present in this prospectus certain estimates of the capacity potential (represented as megawatts or gigawatts) of our GeoClusters. These estimates are based on the underlying geothermal resource potential at our GeoClusters, as represented by a measure of thermal energy we refer to as HIIP, the estimated electrical power capacity into which such HIIP may be converted, and the thermal recovery factor of this thermal energy. HIIP is the total thermal energy estimated to be contained in place within the rock and pore fluid in a defined subsurface volume as of a given date, before accounting for any recovery of heat to the wellhead or conversion to electricity. To produce our estimates of capacity potential, a thermal recovery factor is applied to the HIIP estimates.</w:t>
      </w:r>
    </w:p>
    <w:p>
      <w:pPr>
        <w:spacing w:after="0" w:line="101"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For Cape Station, D&amp;M, an independent engineering consulting firm, independently prepared HIIP estimates using geologic, thermal, and geomechanical models and probabilistic methods, as described further in its report dated June 30, 2024 thereon included as an exhibit to the registration statement of which this prospectus forms a part. To produce our estimate of capacity potential, we further adjust the HIIP estimates by applying a thermal recovery factor. For the nine GeoClusters reviewed by D&amp;M subsequent to Cape Station, which includes: Blanford,</w:t>
      </w:r>
    </w:p>
    <w:p>
      <w:pPr>
        <w:sectPr>
          <w:pgSz w:w="11900" w:h="16838" w:orient="portrait"/>
          <w:cols w:equalWidth="0" w:num="1">
            <w:col w:w="9019"/>
          </w:cols>
          <w:pgMar w:left="1440" w:top="393" w:right="1440" w:bottom="0" w:gutter="0" w:footer="0" w:header="0"/>
        </w:sectPr>
      </w:pPr>
    </w:p>
    <w:bookmarkStart w:id="43" w:name="page44"/>
    <w:bookmarkEnd w:id="43"/>
    <w:p>
      <w:pPr>
        <w:spacing w:after="0" w:line="10" w:lineRule="exact"/>
        <w:rPr>
          <w:sz w:val="20"/>
          <w:szCs w:val="20"/>
          <w:color w:val="auto"/>
        </w:rPr>
      </w:pPr>
    </w:p>
    <w:p>
      <w:pPr>
        <w:ind w:left="1160" w:right="1219"/>
        <w:spacing w:after="0" w:line="193" w:lineRule="auto"/>
        <w:rPr>
          <w:sz w:val="20"/>
          <w:szCs w:val="20"/>
          <w:color w:val="auto"/>
        </w:rPr>
      </w:pPr>
      <w:r>
        <w:rPr>
          <w:rFonts w:ascii="Times New Roman" w:cs="Times New Roman" w:eastAsia="Times New Roman" w:hAnsi="Times New Roman"/>
          <w:sz w:val="14"/>
          <w:szCs w:val="14"/>
          <w:color w:val="auto"/>
        </w:rPr>
        <w:t>Corsac, Marble, Kit, Star, Fennec, Cross, Swift and Aspen, D&amp;M utilizes their own thermal recovery factors, which are factored into their estimates of capacity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-134620</wp:posOffset>
            </wp:positionV>
            <wp:extent cx="716026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However, these estimates are inherently uncertain and subject to significant limitations, including the following:</w:t>
      </w:r>
    </w:p>
    <w:p>
      <w:pPr>
        <w:spacing w:after="0" w:line="140" w:lineRule="exact"/>
        <w:rPr>
          <w:sz w:val="20"/>
          <w:szCs w:val="20"/>
          <w:color w:val="auto"/>
        </w:rPr>
      </w:pPr>
    </w:p>
    <w:p>
      <w:pPr>
        <w:ind w:left="1660" w:right="1259" w:hanging="249"/>
        <w:spacing w:after="0" w:line="260" w:lineRule="auto"/>
        <w:tabs>
          <w:tab w:leader="none" w:pos="1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HIIP estimates produced by D&amp;M for Cape Station does not incorporate recovery factors. Thermal energy in place does not indicate how much heat can be transferred to fluid through heat exchange or produced at the wellhead, and therefore does not indicate how much of such heat at the wellhead can ultimately be converted into electricity. Recovery depends on reservoir connectivity, stimulation effectiveness, pressure and temperature drawdown, flow performance, induced seismicity constraints, and well and surface facility design, among other factors, each of which is subject to risks. To produce our estimates for capacity potential at Cape Station, we rely on our own estimates for thermal recovery factors in order to further adjust D&amp;M’s HIIP and Electric Power Capacity estimates. While D&amp;M has incorporated their own estimates of thermal recovery factor for other GeoClusters reviewed, given the limited deployment to date, thermal recovery factors for EGS are inherently uncertain and can range substantially.</w:t>
      </w:r>
    </w:p>
    <w:p>
      <w:pPr>
        <w:spacing w:after="0" w:line="274" w:lineRule="exact"/>
        <w:rPr>
          <w:rFonts w:ascii="Times New Roman" w:cs="Times New Roman" w:eastAsia="Times New Roman" w:hAnsi="Times New Roman"/>
          <w:sz w:val="14"/>
          <w:szCs w:val="14"/>
          <w:color w:val="auto"/>
        </w:rPr>
      </w:pPr>
    </w:p>
    <w:p>
      <w:pPr>
        <w:ind w:left="1660" w:right="1279" w:hanging="249"/>
        <w:spacing w:after="0" w:line="262" w:lineRule="auto"/>
        <w:tabs>
          <w:tab w:leader="none" w:pos="1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HIIP estimates produced by D&amp;M does not reflect economic feasibility. These estimates measure thermal energy contained within a rock, rather than thermal energy that can be economically produced therefrom, and accordingly do not include drilling and completion costs, electricity prices, parasitic loads, transmission losses, offtake terms and demand, permitting timelines, interconnection constraints, supply chain availability, or financing requirements. Quantities that are technically recoverable absent such limitations, and therefore are included in our resource estimates, may not in practice be economic to develop.</w:t>
      </w:r>
    </w:p>
    <w:p>
      <w:pPr>
        <w:spacing w:after="0" w:line="101" w:lineRule="exact"/>
        <w:rPr>
          <w:rFonts w:ascii="Times New Roman" w:cs="Times New Roman" w:eastAsia="Times New Roman" w:hAnsi="Times New Roman"/>
          <w:sz w:val="14"/>
          <w:szCs w:val="14"/>
          <w:color w:val="auto"/>
        </w:rPr>
      </w:pPr>
    </w:p>
    <w:p>
      <w:pPr>
        <w:ind w:left="1660" w:right="1239" w:hanging="249"/>
        <w:spacing w:after="0" w:line="265" w:lineRule="auto"/>
        <w:tabs>
          <w:tab w:leader="none" w:pos="1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HIIP estimates produced by D&amp;M should not be treated as equivalent or analogous to those quantities that are associated with “Reserves” (as defined pursuant to the rules and regulations of the SEC) due to the additional risks involved. The quantities of heat that might actually be recovered, and the quantities of associated produced electricity should such geothermal resources be developed, may differ significantly from the HIIP estimates produced by D&amp;M.</w:t>
      </w:r>
    </w:p>
    <w:p>
      <w:pPr>
        <w:spacing w:after="0" w:line="99" w:lineRule="exact"/>
        <w:rPr>
          <w:rFonts w:ascii="Times New Roman" w:cs="Times New Roman" w:eastAsia="Times New Roman" w:hAnsi="Times New Roman"/>
          <w:sz w:val="14"/>
          <w:szCs w:val="14"/>
          <w:color w:val="auto"/>
        </w:rPr>
      </w:pPr>
    </w:p>
    <w:p>
      <w:pPr>
        <w:ind w:left="1660" w:right="1199" w:hanging="249"/>
        <w:spacing w:after="0" w:line="263" w:lineRule="auto"/>
        <w:tabs>
          <w:tab w:leader="none" w:pos="1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D&amp;M’s illustrative conversions to potential electric power capacity associated with HIIP are not forecasts. The illustrative estimates of potential electric power capacity into which our HIIP can be converted rely on assumptions regarding Organic Rankine Cycle turbine efficiency, parasitic loads, and a peak output correction factor derived from guaranteed manufacturer specifications, an assumed 30-year project life, and an assumed capacity factor. These illustrative conversions are not forecasts of future production and do not incorporate estimates of project economics.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179" w:hanging="249"/>
        <w:spacing w:after="0" w:line="265" w:lineRule="auto"/>
        <w:tabs>
          <w:tab w:leader="none" w:pos="1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Model assumptions and data limitations may prove inaccurate. The models underlying our resource estimates depend on temperature profiles, geological data, and geomechanical interpretations, and were prepared using data provided by us that were not independently verified by D&amp;M. At increased depths, the uncertainty in such models continues to increase, and future drilling, testing, or monitoring could reveal materially different subsurface conditions than those included in our models.</w:t>
      </w:r>
    </w:p>
    <w:p>
      <w:pPr>
        <w:spacing w:after="0" w:line="99"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Accordingly, investors should not place undue reliance on any estimates of our geothermal resource or assume that any portion of HIIP will be produced or converted to electricity on an economic basis or within any particular timeframe. If the quantities or economics ultimately differ from those implied by our resource estimates, our business, financial condition, results of operations, and prospects could be materially and adversely affected.</w:t>
      </w:r>
    </w:p>
    <w:p>
      <w:pPr>
        <w:spacing w:after="0" w:line="93" w:lineRule="exact"/>
        <w:rPr>
          <w:sz w:val="20"/>
          <w:szCs w:val="20"/>
          <w:color w:val="auto"/>
        </w:rPr>
      </w:pPr>
    </w:p>
    <w:p>
      <w:pPr>
        <w:jc w:val="both"/>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Illustrative estimates of earnings before interest, taxes, depreciation and amortization and illustrative estimates of capital required per megawatt for EGS projects included herein are not forecasts, targets or guidance, and actual results could vary materially.</w:t>
      </w:r>
    </w:p>
    <w:p>
      <w:pPr>
        <w:spacing w:after="0" w:line="91" w:lineRule="exact"/>
        <w:rPr>
          <w:sz w:val="20"/>
          <w:szCs w:val="20"/>
          <w:color w:val="auto"/>
        </w:rPr>
      </w:pPr>
    </w:p>
    <w:p>
      <w:pPr>
        <w:ind w:left="1160" w:right="1219" w:firstLine="258"/>
        <w:spacing w:after="0" w:line="173" w:lineRule="exact"/>
        <w:rPr>
          <w:sz w:val="20"/>
          <w:szCs w:val="20"/>
          <w:color w:val="auto"/>
        </w:rPr>
      </w:pPr>
      <w:r>
        <w:rPr>
          <w:rFonts w:ascii="Times New Roman" w:cs="Times New Roman" w:eastAsia="Times New Roman" w:hAnsi="Times New Roman"/>
          <w:sz w:val="14"/>
          <w:szCs w:val="14"/>
          <w:color w:val="auto"/>
        </w:rPr>
        <w:t>The illustrative industry level estimates of earnings before interest, taxes, depreciation and amortization and illustrative capital required per megawatt for EGS projects included herein are not forecasts, targets or guidance. These estimates are based on internal estimates, and are simplified, scenario-based outputs based on data available as of December 31, 2025. For example, of a given PPA, operations and maintenance costs may not be reflective of our operations or the operations of other comparable operators of geothermal projects, and the ability to monetize geothermal tax credits assumes the continued existence of such tax credits and an efficient market for such sales. Further, actual earnings before interest, taxes, depreciation and amortization per megawatt for EGS projects will differ depending on project and market specific factors, such as resource quality, development and operating costs, actual capacity factor, power prices and offtake terms, and may cause results to vary materially from such estimates. Actual capital expenditures per megawatt for EGS projects will differ depending on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and 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factors, such as subsurface conditions and resource quality including target depth and temperature, drilling and completion requirements, reservoir stimulation scope, well count, surface plant design and equipment costs, interconnection and transmission upgrades, supply chain and labor pricing, permitting and site infrastructure needs, and contingency and owner’s costs, and may cause results to vary materially from such estimates.</w:t>
      </w:r>
    </w:p>
    <w:p>
      <w:pPr>
        <w:spacing w:after="0" w:line="12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Additionally, the illustrative estimates presented herein are not specific to us or our technology but are general, industry level estimates of EGS project economics. While we believe such estimates of EGS project economics to be reasonable and are generally consistent with our understanding of EGS technology, there can be no assurance that the performance or economics of our EGS projects will meet such estimates, and our actual results could differ materially. Therefore, you are encouraged not to place undue weight on such illustrative estimates, and the inclusion of such information should not be regarded as a forecast, target, guidance or a representation by us that the results reflected in such estimates will be achieved.</w:t>
      </w:r>
    </w:p>
    <w:p>
      <w:pPr>
        <w:spacing w:after="0" w:line="97" w:lineRule="exact"/>
        <w:rPr>
          <w:sz w:val="20"/>
          <w:szCs w:val="20"/>
          <w:color w:val="auto"/>
        </w:rPr>
      </w:pPr>
    </w:p>
    <w:p>
      <w:pPr>
        <w:jc w:val="both"/>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strategy involves drilling using existing oil and gas technologies, such as multistage hydraulic stimulation and horizontal drilling techniques, in new geothermal applications aided by fiber optic data acquisition, which involve risks and uncertainties in their deployment.</w:t>
      </w:r>
    </w:p>
    <w:p>
      <w:pPr>
        <w:spacing w:after="0" w:line="9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Our operations involve utilizing established oil and gas technologies in novel geothermal applications as well as new technologies developed by us. While we have achieved commercial pilot milestones, we are still in the construction phase for additional projects and therefore are subject to risks associated with using multistage hydraulic stimulation and horizontal drilling techniques in new applications. The success of these techniques can only be evaluated over time and at scale as more wells are drilled and production profiles are established over a sufficiently long time period. If our production results are less than anticipated or we are unable to execute our well</w:t>
      </w:r>
    </w:p>
    <w:p>
      <w:pPr>
        <w:sectPr>
          <w:pgSz w:w="11900" w:h="16848" w:orient="portrait"/>
          <w:cols w:equalWidth="0" w:num="1">
            <w:col w:w="9019"/>
          </w:cols>
          <w:pgMar w:left="1440" w:top="94" w:right="1440" w:bottom="0" w:gutter="0" w:footer="0" w:header="0"/>
        </w:sectPr>
      </w:pPr>
    </w:p>
    <w:bookmarkStart w:id="44" w:name="page45"/>
    <w:bookmarkEnd w:id="44"/>
    <w:p>
      <w:pPr>
        <w:spacing w:after="0" w:line="62" w:lineRule="exact"/>
        <w:rPr>
          <w:sz w:val="20"/>
          <w:szCs w:val="20"/>
          <w:color w:val="auto"/>
        </w:rPr>
      </w:pPr>
    </w:p>
    <w:p>
      <w:pPr>
        <w:ind w:left="1160" w:right="1459"/>
        <w:spacing w:after="0" w:line="233" w:lineRule="auto"/>
        <w:rPr>
          <w:sz w:val="20"/>
          <w:szCs w:val="20"/>
          <w:color w:val="auto"/>
        </w:rPr>
      </w:pPr>
      <w:r>
        <w:rPr>
          <w:rFonts w:ascii="Times New Roman" w:cs="Times New Roman" w:eastAsia="Times New Roman" w:hAnsi="Times New Roman"/>
          <w:sz w:val="14"/>
          <w:szCs w:val="14"/>
          <w:color w:val="auto"/>
        </w:rPr>
        <w:t>projects because of capital constraints, regulatory limitations and/or declines in electricity prices or demand, the return on our investment in these areas may not be as attractive as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2" w:lineRule="exact"/>
        <w:rPr>
          <w:sz w:val="20"/>
          <w:szCs w:val="20"/>
          <w:color w:val="auto"/>
        </w:rPr>
      </w:pPr>
    </w:p>
    <w:p>
      <w:pPr>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Inflation and rising costs could adversely affect our business and may impact us differently than other clean-energy providers.</w:t>
      </w:r>
    </w:p>
    <w:p>
      <w:pPr>
        <w:spacing w:after="0" w:line="77" w:lineRule="exact"/>
        <w:rPr>
          <w:sz w:val="20"/>
          <w:szCs w:val="20"/>
          <w:color w:val="auto"/>
        </w:rPr>
      </w:pPr>
    </w:p>
    <w:p>
      <w:pPr>
        <w:ind w:left="1160" w:right="1519" w:firstLine="258"/>
        <w:spacing w:after="0" w:line="292" w:lineRule="auto"/>
        <w:rPr>
          <w:sz w:val="20"/>
          <w:szCs w:val="20"/>
          <w:color w:val="auto"/>
        </w:rPr>
      </w:pPr>
      <w:r>
        <w:rPr>
          <w:rFonts w:ascii="Times New Roman" w:cs="Times New Roman" w:eastAsia="Times New Roman" w:hAnsi="Times New Roman"/>
          <w:sz w:val="14"/>
          <w:szCs w:val="14"/>
          <w:color w:val="auto"/>
        </w:rPr>
        <w:t>Inflation has recently reached its highest levels in decades and has contributed to higher interest rates and capital costs, increased shipping and logistics expenses, elevated costs for raw materials, supply shortages, and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rising labor costs. These conditions have affected, and may continue to affect, the broader technology and energy transition industry, including other renewable power sources such as solar and wind. However, the relative impact of inflation is not uniform across the industry. For EGS, the magnitude and timing of inflationary effects can depend on factors such as material intensity and technology design, the structure and terms of supply and services agreements, project management and execution, and the availability of specialized vendors and equipment.</w:t>
      </w:r>
    </w:p>
    <w:p>
      <w:pPr>
        <w:spacing w:after="0" w:line="99" w:lineRule="exact"/>
        <w:rPr>
          <w:sz w:val="20"/>
          <w:szCs w:val="20"/>
          <w:color w:val="auto"/>
        </w:rPr>
      </w:pPr>
    </w:p>
    <w:p>
      <w:pPr>
        <w:ind w:left="1160" w:right="1219" w:firstLine="258"/>
        <w:spacing w:after="0" w:line="176" w:lineRule="exact"/>
        <w:rPr>
          <w:sz w:val="20"/>
          <w:szCs w:val="20"/>
          <w:color w:val="auto"/>
        </w:rPr>
      </w:pPr>
      <w:r>
        <w:rPr>
          <w:rFonts w:ascii="Times New Roman" w:cs="Times New Roman" w:eastAsia="Times New Roman" w:hAnsi="Times New Roman"/>
          <w:sz w:val="14"/>
          <w:szCs w:val="14"/>
          <w:color w:val="auto"/>
        </w:rPr>
        <w:t>Our development and operations require specialized drilling services, well construction materials, and ORC equipment. Availability and pricing for these inputs may be constrained by broader power sector demand and capacity limits in oilfield and industrial supply chains, which can exacerbate price volatility and delivery schedules for rigs, tubulars, cement, drilling fluids, heat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exchange equipment, and related components. These dynamics could reduce the competitiveness of our EGS technology and impair our ability to construct and operate wellfields, power plants, and other facilities on anticipated timelines and budgets. In addition, higher interest rates and capital costs associated with inflation could increase our financing expenses on current and future projects. Any of these factors, individually or in combination, could have a material adverse effect on our business, financial condition, and results of operations.</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business involves significant risks and uncertainties that may not be covered by insurance.</w:t>
      </w:r>
    </w:p>
    <w:p>
      <w:pPr>
        <w:spacing w:after="0" w:line="14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A significant portion of our business relates to designing, developing and manufacturing advanced geothermal technology products and services. New technologies may be untested or unproven and the failure of our products and services could result in extensive damage. Accordingly, we may incur liabilities that are unique to our products and services.</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 If a significant accident or event occurs that is not fully insured, if we fail to recover all anticipated insurance proceeds for significant accidents or events for which we are insured, or if we fail to replace or repair products or services damaged by such accidents or events, our operations and financial condition could be harmed.</w:t>
      </w:r>
    </w:p>
    <w:p>
      <w:pPr>
        <w:spacing w:after="0" w:line="101" w:lineRule="exact"/>
        <w:rPr>
          <w:sz w:val="20"/>
          <w:szCs w:val="20"/>
          <w:color w:val="auto"/>
        </w:rPr>
      </w:pPr>
    </w:p>
    <w:p>
      <w:pPr>
        <w:ind w:left="1160" w:right="1179" w:firstLine="258"/>
        <w:spacing w:after="0" w:line="174" w:lineRule="exact"/>
        <w:rPr>
          <w:sz w:val="20"/>
          <w:szCs w:val="20"/>
          <w:color w:val="auto"/>
        </w:rPr>
      </w:pPr>
      <w:r>
        <w:rPr>
          <w:rFonts w:ascii="Times New Roman" w:cs="Times New Roman" w:eastAsia="Times New Roman" w:hAnsi="Times New Roman"/>
          <w:sz w:val="14"/>
          <w:szCs w:val="14"/>
          <w:color w:val="auto"/>
        </w:rPr>
        <w:t>We have historically insured against liability to third parties from EGS activities as required by law to the extent that insurance was available on acceptable premiums and terms. However, the insurance coverage for third-party damages may not be sufficient to cover the liability. Moreover, we do not purchase control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well insurance and our insurance program does not cover many subsurface risks inherent in our operations. As a result, first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losses arising from subsurface events, such as loss of well, blowouts, uncontrolled flows, kicks, formation or reservoir damage, subsurface property damage, and related well control and remediation costs may be uninsured or underinsured. Any such uninsured or underinsured losses could require us to fund significant costs directly, which could adversely affect our business, results of operations, and financial condition.</w:t>
      </w:r>
    </w:p>
    <w:p>
      <w:pPr>
        <w:spacing w:after="0" w:line="119"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price and availability of insurance fluctuate significantly. Insurance market conditions or factors outside our control, such as failure of our infrastructure technology,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 Moreover, even where coverage is available, exclusions and sublimits (particularly with respect to subsurface risks) may materially limit recoveries.</w:t>
      </w:r>
    </w:p>
    <w:p>
      <w:pPr>
        <w:spacing w:after="0" w:line="10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In addition, although we carry business interruption insurance policies, any business interruption losses could exceed the coverage available or be excluded from our insurance policies. For example, interruptions caused by subsurface incidents and well control events may not be covered. Any disruption of our ability to operate our business could result in a material decrease in our revenues or significant additional costs to replace, repair, control or insure our assets, which could have a material adverse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operations could be adversely impacted by climate change and severe weather.</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are susceptible to losses and interruptions caused by extreme weather conditions such as droughts, earthquakes, hurricanes, tsunamis, floods, blizzards, wildfires, and water or other natural resource shortages, occurrences of which may increase in frequency and severity as a result of climate change. Given our geographic concentration, an extreme weather event in the region in which we operate could cause significant disruptions to our operations. Climate change may also produce general changes in weather or other environmental conditions, including temperature or precipitation levels, and thus may impact consumer demand for electricity. Daily and seasonal fluctuations in temperature generally have a more significant impact on the generating capacity of EGS power plants than conventional power plants. Power plants may experience reduced generation in warm periods due</w:t>
      </w:r>
    </w:p>
    <w:p>
      <w:pPr>
        <w:sectPr>
          <w:pgSz w:w="11900" w:h="16900" w:orient="portrait"/>
          <w:cols w:equalWidth="0" w:num="1">
            <w:col w:w="9019"/>
          </w:cols>
          <w:pgMar w:left="1440" w:top="94" w:right="1440" w:bottom="0" w:gutter="0" w:footer="0" w:header="0"/>
        </w:sectPr>
      </w:pPr>
    </w:p>
    <w:bookmarkStart w:id="45" w:name="page46"/>
    <w:bookmarkEnd w:id="45"/>
    <w:p>
      <w:pPr>
        <w:spacing w:after="0" w:line="52" w:lineRule="exact"/>
        <w:rPr>
          <w:sz w:val="20"/>
          <w:szCs w:val="20"/>
          <w:color w:val="auto"/>
        </w:rPr>
      </w:pPr>
    </w:p>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to the lower heat differential between geothermal fluid and the ambient surroundings. While we generally account for the projected impact seasonal fluctuations in temperature may have based on historic experience, the impact of climate change on traditional weather patterns has become more pronounced. This has reduced the certainty of our modelling efforts. To the extent weather conditions continue to be impacted by climate change, the generation capacity of certain facilities may be adversely impacted in a manner that we could not predict which may in turn adversely impact our results of operations. In addition, the potential physical effects of climate change, such as increased frequency and severity of storms, floods, and other climatic events, could disrupt our operations and cause us to incur significant costs to prepare for or respond to these effects. If we experience physical damage to our equipment and infrastructure due to climate-related natural disasters, it could lead to the suspension of our operations, additional costs to restore service and repair facilities, and delays in power generation resulting in lost revenue and potential exposure to legal claims. Such events could also impact our ability to obtain insurance coverage and we may experience rising costs of insurance coverage resulting from any damages to our assets, which could have an impact on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-1300480</wp:posOffset>
            </wp:positionV>
            <wp:extent cx="716026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58"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Climate change could also affect the availability of secure and economical supply of water, which is essential for our ability to secure new water well permits and continue drilling, especially in western states where we have seen severe drought and increased prices for industrial water.</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Threats of terrorism, including cyberterrorism, or military campaigns may adversely impact our business.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operations and facilities, in particular, our generation facilities, information technology systems and other infrastructure facilities, systems and physical assets that we acquire, construct or develop, as well as those of third parties on which we rely, may be targets of terrorist acts and threats, as well as events occurring in response to or in connection with them, that could cause environmental repercussions, result in full or partial disruption of our operations. A terrorism incident, including cyberterrorism, may also result in temporary or permanent closure of any of our projects, which could increase our costs and decrease our cash flows. These operations and facilities are also subject to natural disasters, public health crises, fire, power loss and telecommunication failures.</w:t>
      </w:r>
    </w:p>
    <w:p>
      <w:pPr>
        <w:spacing w:after="0" w:line="10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Any of our assets or those of third-party vendors could be directly or indirectly affected by such events or activities. Any such terrorist acts, environmental repercussions or disruptions or natural disasters could result in a significant decrease in revenues or significant reconstruction or remediation costs, which could have a material adverse effect on the business, financial condition, results of operations and cash flows.</w:t>
      </w:r>
    </w:p>
    <w:p>
      <w:pPr>
        <w:spacing w:after="0" w:line="93"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existence of a prolonged force majeure event or a forced outage affecting the wellfield, a power plant, or the transmission systems could reduce our net income and materially and adversely affect our business, financial condition, future results, and cash flow.</w:t>
      </w:r>
    </w:p>
    <w:p>
      <w:pPr>
        <w:spacing w:after="0" w:line="91"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The operation of our geothermal power plants is subject to a variety of risks, including events such as fires, explosions, earthquakes, floods, severe storms, or other similar events. If a power plant experiences an occurrence resulting in a force majeure event, although our subsidiary that owns that power plant would be excused from its obligations under the relevant PPA, the relevant power purchaser may not be required to make any capacity and/or energy payments with respect to the affected power plant for as long as the force majeure event continues and, pursuant to certain of our PPAs, will have the right to prematurely terminate the PPA assuming the relevant force majeure event continues for an extended period of time.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Additionally, to the extent that a forced outage has occurred, and if as a result the power plant fails to attain certain performance requirements under certain of our PPAs, the power purchaser may have the right to permanently reduce the contract capacity (and correspondingly, the amount of capacity payments due pursuant to such agreements in the future), seek refunds of certain past capacity payments, and/or prematurely terminate the PPA. As a consequence, we may not receive the full value of anticipated net revenues from the affected power plant other than, in the case of a PPA that has been prematurely terminated, the proceeds from any business interruption insurance that applies to the force majeure event or forced outage after the relevant waiting period and may incur significant liabilities in respect of past amounts required to be refunded.</w:t>
      </w:r>
    </w:p>
    <w:p>
      <w:pPr>
        <w:spacing w:after="0" w:line="10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Any future widespread public health crises, similar to COVID-19, could negatively affect various aspects of our business, make it more difficult for us to meet our obligations to our customers, and result in reduced demand for our products and services.</w:t>
      </w:r>
    </w:p>
    <w:p>
      <w:pPr>
        <w:spacing w:after="0" w:line="93"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In an effort to halt the outbreak of COVID-19, a number of countries, including the United States, previously placed significant restrictions on travel, many businesses announced extended closures, and many businesses and governmental agencies allowed employees to work remotely, which in some cases may reduce the effectiveness of those employees. If there is a resurgence in COVID-19 cases or a similar health crisis, travel restrictions and business closures may, in the future, adversely affect our operations locally and worldwide, including our ability to obtain regulatory approvals and to manufacture, market, sell or distribute our products, which could materially and adversely affect our business.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Nearshoring supply chain operations may not yield anticipated benefits and could introduce new risks.</w:t>
      </w:r>
    </w:p>
    <w:p>
      <w:pPr>
        <w:spacing w:after="0" w:line="144" w:lineRule="exact"/>
        <w:rPr>
          <w:sz w:val="20"/>
          <w:szCs w:val="20"/>
          <w:color w:val="auto"/>
        </w:rPr>
      </w:pPr>
    </w:p>
    <w:p>
      <w:pPr>
        <w:ind w:left="1160" w:right="1359" w:firstLine="258"/>
        <w:spacing w:after="0" w:line="263" w:lineRule="auto"/>
        <w:rPr>
          <w:sz w:val="20"/>
          <w:szCs w:val="20"/>
          <w:color w:val="auto"/>
        </w:rPr>
      </w:pPr>
      <w:r>
        <w:rPr>
          <w:rFonts w:ascii="Times New Roman" w:cs="Times New Roman" w:eastAsia="Times New Roman" w:hAnsi="Times New Roman"/>
          <w:sz w:val="14"/>
          <w:szCs w:val="14"/>
          <w:color w:val="auto"/>
        </w:rPr>
        <w:t>To enhance supply chain resilience and reduce exposure to global disruptions, we are exploring nearshoring options to bring certain operations and suppliers closer to the U.S. While nearshoring has the potential to improve logistics, reduce lead times, and increase supply chain transparency, it also involves significant investment, operational complexity, and potential increases in labor and regulatory costs. Establishing new supply chain networks and facilities requires careful planning, coordination with local authorities, and adaptation to regional market conditions, all of which can introduce unforeseen challenges and expenses.</w:t>
      </w:r>
    </w:p>
    <w:p>
      <w:pPr>
        <w:spacing w:after="0" w:line="101"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There is no assurance that nearshoring will result in the efficiencies or cost savings we anticipate, and the transition process itself may disrupt existing operations or delay project timelines. Additionally, regional economic conditions, labor market dynamics, and regulatory environments could impact the feasibility and success of these initiatives, potentially leading to higher costs or reduced flexibility. If our nearshoring efforts fail to deliver the expected benefits, we may face increased operational risks, diminished competitiveness, and challenges in meeting customer and stakeholder expectations.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Operational risks could disrupt our energy production and increase costs.</w:t>
      </w:r>
    </w:p>
    <w:p>
      <w:pPr>
        <w:spacing w:after="0" w:line="144"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Operating geothermal plants involves various risks, including equipment failures, unexpected downtime, and safety incidents. Disruptions in plant operations can lead to reduced energy output, increased maintenance costs, and</w:t>
      </w:r>
    </w:p>
    <w:p>
      <w:pPr>
        <w:sectPr>
          <w:pgSz w:w="11900" w:h="16890" w:orient="portrait"/>
          <w:cols w:equalWidth="0" w:num="1">
            <w:col w:w="9019"/>
          </w:cols>
          <w:pgMar w:left="1440" w:top="104" w:right="1440" w:bottom="0" w:gutter="0" w:footer="0" w:header="0"/>
        </w:sectPr>
      </w:pPr>
    </w:p>
    <w:bookmarkStart w:id="46" w:name="page47"/>
    <w:bookmarkEnd w:id="46"/>
    <w:p>
      <w:pPr>
        <w:spacing w:after="0" w:line="20" w:lineRule="exact"/>
        <w:rPr>
          <w:sz w:val="20"/>
          <w:szCs w:val="20"/>
          <w:color w:val="auto"/>
        </w:rPr>
      </w:pPr>
    </w:p>
    <w:p>
      <w:pPr>
        <w:ind w:left="1160" w:right="1299"/>
        <w:spacing w:after="0" w:line="249" w:lineRule="auto"/>
        <w:rPr>
          <w:sz w:val="20"/>
          <w:szCs w:val="20"/>
          <w:color w:val="auto"/>
        </w:rPr>
      </w:pPr>
      <w:r>
        <w:rPr>
          <w:rFonts w:ascii="Times New Roman" w:cs="Times New Roman" w:eastAsia="Times New Roman" w:hAnsi="Times New Roman"/>
          <w:sz w:val="14"/>
          <w:szCs w:val="14"/>
          <w:color w:val="auto"/>
        </w:rPr>
        <w:t>reputational damage. Equipment failures may result from wear and tear, manufacturing defects, or inadequate maintenance, while safety incidents could arise from human error, natural disasters, or unforeseen technical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both"/>
        <w:ind w:left="1160" w:right="1159"/>
        <w:spacing w:after="0" w:line="264" w:lineRule="auto"/>
        <w:rPr>
          <w:sz w:val="20"/>
          <w:szCs w:val="20"/>
          <w:color w:val="auto"/>
        </w:rPr>
      </w:pPr>
      <w:r>
        <w:rPr>
          <w:rFonts w:ascii="Times New Roman" w:cs="Times New Roman" w:eastAsia="Times New Roman" w:hAnsi="Times New Roman"/>
          <w:sz w:val="14"/>
          <w:szCs w:val="14"/>
          <w:color w:val="auto"/>
        </w:rPr>
        <w:t>We have never operated a power plant, including a geothermal facility, which heightens these risks by increasing the potential for operational missteps, extended ramp-up periods, and a greater reliance on third-party expertise or newly developed internal capabilities.</w:t>
      </w:r>
    </w:p>
    <w:p>
      <w:pPr>
        <w:spacing w:after="0" w:line="99"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implement rigorous maintenance programs, safety protocols, and risk management strategies to minimize operational risks and ensure the reliability of our energy production. However, unforeseen issues can still arise, impacting our operational efficiency and financial results. Our lack of prior operating experience may also limit the effectiveness of these programs during initial operations and could delay our ability to identify and remediate issues. Effective contingency planning and rapid response capabilities are essential to mitigating the impact of operational disruptions and maintaining stakeholder confidence in our ability to deliver reliable energy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Sustainability concerns, community expectations, and opposition could result in increased costs, risks and project delays.</w:t>
      </w:r>
    </w:p>
    <w:p>
      <w:pPr>
        <w:spacing w:after="0" w:line="77" w:lineRule="exact"/>
        <w:rPr>
          <w:sz w:val="20"/>
          <w:szCs w:val="20"/>
          <w:color w:val="auto"/>
        </w:rPr>
      </w:pPr>
    </w:p>
    <w:p>
      <w:pPr>
        <w:ind w:left="1160" w:right="1359" w:firstLine="258"/>
        <w:spacing w:after="0" w:line="262" w:lineRule="auto"/>
        <w:rPr>
          <w:sz w:val="20"/>
          <w:szCs w:val="20"/>
          <w:color w:val="auto"/>
        </w:rPr>
      </w:pPr>
      <w:r>
        <w:rPr>
          <w:rFonts w:ascii="Times New Roman" w:cs="Times New Roman" w:eastAsia="Times New Roman" w:hAnsi="Times New Roman"/>
          <w:sz w:val="14"/>
          <w:szCs w:val="14"/>
          <w:color w:val="auto"/>
        </w:rPr>
        <w:t>Geothermal projects can have adverse environmental impacts, including land use changes, impacts to surface water or groundwater resources, temporary emissions of greenhouse gases (“GHG”) or other air pollutants from diesel generators, among others. These impacts may attract public opposition, regulatory scrutiny, or legal challenges, potentially delaying or preventing project development. Environmental advocacy groups, local communities, and other stakeholders may raise concerns about the potential effects of our operations on natural resources or other environmental receptors, which could lead to increased compliance costs and project modifications.</w:t>
      </w:r>
    </w:p>
    <w:p>
      <w:pPr>
        <w:spacing w:after="0" w:line="101" w:lineRule="exact"/>
        <w:rPr>
          <w:sz w:val="20"/>
          <w:szCs w:val="20"/>
          <w:color w:val="auto"/>
        </w:rPr>
      </w:pPr>
    </w:p>
    <w:p>
      <w:pPr>
        <w:ind w:left="1160" w:right="1339" w:firstLine="258"/>
        <w:spacing w:after="0" w:line="262" w:lineRule="auto"/>
        <w:rPr>
          <w:sz w:val="20"/>
          <w:szCs w:val="20"/>
          <w:color w:val="auto"/>
        </w:rPr>
      </w:pPr>
      <w:r>
        <w:rPr>
          <w:rFonts w:ascii="Times New Roman" w:cs="Times New Roman" w:eastAsia="Times New Roman" w:hAnsi="Times New Roman"/>
          <w:sz w:val="14"/>
          <w:szCs w:val="14"/>
          <w:color w:val="auto"/>
        </w:rPr>
        <w:t>Failure to adequately address environmental concerns could result in reputational damage, legal liabilities, or the imposition of additional regulatory requirements. While we seek to minimize the potential adverse environmental impacts of our operations, the potential for environmental challenges remains a material risk to our business, as negative publicity or regulatory actions could impact our ability to secure permits, attract investment, and maintain positive relationships with stakeholders. Even with practices such as reinjection of geothermal brine and use of air-cooled ORC systems to reduce water usage, our projects remain subject to evolving environmental standards and community expectations.</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In recent years, attention has been given to corporate activities related to sustainability matters. In particular, members of the investment community have begun to screen companies for sustainability performance, including practices related to GHG emissions and climate change, and through the use of “ESG ratings” (referring to environmental, social, and governance matters), before investing in certain companies. In addition, members of the investment community and other parties have initiated “greenwashing” litigation alleging certain companies’ claims about the environmental benefits of their operations, products or practices are false or misleading. As a result, we could experience additional costs or financial penalties, litigation risks, delayed projects, and/or reduced demand for our products and services, which could have a material adverse effect on our earnings, cash flows, and financial condition. If we do not adapt to or comply with expectations and standards on sustainability matters, or if we are perceived to have not responded appropriately to the growing concern for sustainability issues (especially from our stakeholders), regardless of whether there is a legal requirement to do so, we may suffer from reputational damage, and our business and financial condition could be materially and adversely affected.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Industry</w:t>
      </w:r>
    </w:p>
    <w:p>
      <w:pPr>
        <w:spacing w:after="0" w:line="138"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Expectations regarding load growth may not materialize, and our business prospects could be harmed if geothermal energy is not widely adopted or sufficient demand for geothermal systems does not develop or takes longer to develop than we anticipate.</w:t>
      </w:r>
    </w:p>
    <w:p>
      <w:pPr>
        <w:spacing w:after="0" w:line="9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Our growth and success are dependent on continued expansion of electricity demand driven by the rapid increase in artificial intelligence data center development, which has contributed to record increases in electrification and power consumption and substantial new market opportunities for energy suppliers. As hyperscale data centers seek gigawatt-level connections to power their AI workloads, utilities and generators have seen unprecedented requests for electricity supply, sometimes equating to the needs of entire cities. The Pew Research Center reports U.S. data centers accounted for over 4% of national electricity use in 2024, with forecasts projecting demand doubling or tripling by the end of the decade as AI models grow in size and complexity. The heightened demand for reliable, large-scale generation has allowed us to pursue long-term contracts and investments in generation and transmission infrastructure to support the evolving needs of technology customers.</w:t>
      </w:r>
    </w:p>
    <w:p>
      <w:pPr>
        <w:spacing w:after="0" w:line="106"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However, there is no assurance that these forecasts of load growth will be accurate or that the anticipated load growth will occur as projected. Factors such as evolving technology, improvements in energy efficiency, changes in economic conditions, shifts in government policy or regulation, and project delays or cancellations by significant expected offtakers (including data center facilities) could reduce or slow demand for electricity relative to current expectations. If the anticipated load growth fails to materialize, it could have a material adverse effect on our business, financial condition, and results of operations. Reduced need for behind-the-meter power, delayed or cancelled data center builds or increased baseload power on the grid could lead to fewer PPAs with creditworthy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offtakers, lower revenue and diminished growth prospects, materially harming our financial condition and operating results.</w:t>
      </w:r>
    </w:p>
    <w:p>
      <w:pPr>
        <w:sectPr>
          <w:pgSz w:w="11900" w:h="16858" w:orient="portrait"/>
          <w:cols w:equalWidth="0" w:num="1">
            <w:col w:w="9019"/>
          </w:cols>
          <w:pgMar w:left="1440" w:top="94" w:right="1440" w:bottom="0" w:gutter="0" w:footer="0" w:header="0"/>
        </w:sectPr>
      </w:pPr>
    </w:p>
    <w:bookmarkStart w:id="47" w:name="page48"/>
    <w:bookmarkEnd w:id="47"/>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59" w:firstLine="258"/>
        <w:spacing w:after="0" w:line="176" w:lineRule="exact"/>
        <w:rPr>
          <w:sz w:val="20"/>
          <w:szCs w:val="20"/>
          <w:color w:val="auto"/>
        </w:rPr>
      </w:pPr>
      <w:r>
        <w:rPr>
          <w:rFonts w:ascii="Times New Roman" w:cs="Times New Roman" w:eastAsia="Times New Roman" w:hAnsi="Times New Roman"/>
          <w:sz w:val="14"/>
          <w:szCs w:val="14"/>
          <w:color w:val="auto"/>
        </w:rPr>
        <w:t>Further, the geothermal energy market in the United States is at a relatively early stage, and the EGS market is nascent. Although we believe our EGS approach—organized into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gigawatt GeoClusters and standardized 50-megawatt GeoBlocks—meets buyer priorities of reliability,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deliverability, and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competitiveness, demand may not develop as anticipated.</w:t>
      </w:r>
    </w:p>
    <w:p>
      <w:pPr>
        <w:spacing w:after="0" w:line="116" w:lineRule="exact"/>
        <w:rPr>
          <w:sz w:val="20"/>
          <w:szCs w:val="20"/>
          <w:color w:val="auto"/>
        </w:rPr>
      </w:pPr>
    </w:p>
    <w:p>
      <w:pPr>
        <w:ind w:left="1160" w:right="1219" w:firstLine="258"/>
        <w:spacing w:after="0" w:line="175" w:lineRule="exact"/>
        <w:rPr>
          <w:sz w:val="20"/>
          <w:szCs w:val="20"/>
          <w:color w:val="auto"/>
        </w:rPr>
      </w:pPr>
      <w:r>
        <w:rPr>
          <w:rFonts w:ascii="Times New Roman" w:cs="Times New Roman" w:eastAsia="Times New Roman" w:hAnsi="Times New Roman"/>
          <w:sz w:val="14"/>
          <w:szCs w:val="14"/>
          <w:color w:val="auto"/>
        </w:rPr>
        <w:t>Many factors may affect demand for geothermal energy systems, including the availability of federal incentives and state policies (such as the NEPA) categorical exclusions for certain geothermal confirmations and renewable portfolio standard procurement, interconnection and transmission access, natural gas and other commodity prices, relative project costs (including high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 drilling services and ORC equipment), the success of other renewable technologies, and the availability of customer financing.</w:t>
      </w:r>
    </w:p>
    <w:p>
      <w:pPr>
        <w:spacing w:after="0" w:line="112" w:lineRule="exact"/>
        <w:rPr>
          <w:sz w:val="20"/>
          <w:szCs w:val="20"/>
          <w:color w:val="auto"/>
        </w:rPr>
      </w:pPr>
    </w:p>
    <w:p>
      <w:pPr>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maintain contracted output depends on sustaining adequate geothermal heat supply from our wells; if we cannot, our plants may underperform and our contractual obligations may be at risk.</w:t>
      </w:r>
    </w:p>
    <w:p>
      <w:pPr>
        <w:spacing w:after="0" w:line="77" w:lineRule="exact"/>
        <w:rPr>
          <w:sz w:val="20"/>
          <w:szCs w:val="20"/>
          <w:color w:val="auto"/>
        </w:rPr>
      </w:pPr>
    </w:p>
    <w:p>
      <w:pPr>
        <w:ind w:left="1160" w:right="1199" w:firstLine="258"/>
        <w:spacing w:after="0" w:line="175" w:lineRule="exact"/>
        <w:rPr>
          <w:sz w:val="20"/>
          <w:szCs w:val="20"/>
          <w:color w:val="auto"/>
        </w:rPr>
      </w:pPr>
      <w:r>
        <w:rPr>
          <w:rFonts w:ascii="Times New Roman" w:cs="Times New Roman" w:eastAsia="Times New Roman" w:hAnsi="Times New Roman"/>
          <w:sz w:val="14"/>
          <w:szCs w:val="14"/>
          <w:color w:val="auto"/>
        </w:rPr>
        <w:t>Unlike conventional generators that procure external fuel, our “fuel” is the heat extracted from reservoirs where permeability has been enhanced through stimulation. If reservoir performance does not meet expectations or declines faster than anticipated, whether due to subsurface heterogeneity, thermal drawdown, hydraulic connectivity, mineral scaling, or operational imbalances; available heat may be insufficient to support targeted output or availability. In such cases, we may be required to incur additional capital to drill new wells or laterals, remediate wells, or modify plant operations, and we could be unable to meet fixed minimum performance or availability standards under certain PPAs. Any resulting shortfalls, damages, capacity de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rates, or termination rights could materially and adversely affect our business, financial condition, results of operations and cash flows. As of December 31, 2025, we had contractual commitments of $528.8 million, all of which relate to our Cape Station Phase I and Cape Station Phase II facilities.</w:t>
      </w:r>
    </w:p>
    <w:p>
      <w:pPr>
        <w:spacing w:after="0" w:line="246" w:lineRule="exact"/>
        <w:rPr>
          <w:sz w:val="20"/>
          <w:szCs w:val="20"/>
          <w:color w:val="auto"/>
        </w:rPr>
      </w:pPr>
    </w:p>
    <w:p>
      <w:pPr>
        <w:jc w:val="both"/>
        <w:ind w:left="1160" w:right="1599"/>
        <w:spacing w:after="0" w:line="187" w:lineRule="exact"/>
        <w:rPr>
          <w:sz w:val="20"/>
          <w:szCs w:val="20"/>
          <w:color w:val="auto"/>
        </w:rPr>
      </w:pPr>
      <w:r>
        <w:rPr>
          <w:rFonts w:ascii="Times New Roman" w:cs="Times New Roman" w:eastAsia="Times New Roman" w:hAnsi="Times New Roman"/>
          <w:sz w:val="14"/>
          <w:szCs w:val="14"/>
          <w:b w:val="1"/>
          <w:bCs w:val="1"/>
          <w:i w:val="1"/>
          <w:iCs w:val="1"/>
          <w:color w:val="auto"/>
        </w:rPr>
        <w:t>Successful commercialization of new, or further enhancements to existing, alternative carbon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free energy generation technologies may prove to be more cost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effective or appealing to the global energy markets and therefore may adversely affect the market demand for our energy.</w:t>
      </w:r>
    </w:p>
    <w:p>
      <w:pPr>
        <w:spacing w:after="0" w:line="116" w:lineRule="exact"/>
        <w:rPr>
          <w:sz w:val="20"/>
          <w:szCs w:val="20"/>
          <w:color w:val="auto"/>
        </w:rPr>
      </w:pPr>
    </w:p>
    <w:p>
      <w:pPr>
        <w:ind w:left="1160" w:right="1199" w:firstLine="258"/>
        <w:spacing w:after="0" w:line="174" w:lineRule="exact"/>
        <w:rPr>
          <w:sz w:val="20"/>
          <w:szCs w:val="20"/>
          <w:color w:val="auto"/>
        </w:rPr>
      </w:pPr>
      <w:r>
        <w:rPr>
          <w:rFonts w:ascii="Times New Roman" w:cs="Times New Roman" w:eastAsia="Times New Roman" w:hAnsi="Times New Roman"/>
          <w:sz w:val="14"/>
          <w:szCs w:val="14"/>
          <w:color w:val="auto"/>
        </w:rPr>
        <w:t>The expected market for our power plants may be superseded or rendered obsolete by new technology or the novel application of existing technology, including expanded nuclear (both conventional and small modular reactors “SMRs”), increasingly paired solar/wind plus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duration storage, hydroelectric generation or gas generation with carbon capture. Our estimates for total addressable market and unit economics reflect current market conditions characterized by rising grid demand from hyperscale data centers and utilities, capacity shortfalls, and procurement preferences for clean, firm power.</w:t>
      </w:r>
    </w:p>
    <w:p>
      <w:pPr>
        <w:spacing w:after="0" w:line="11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However, our assumptions and the data underlying our estimates may not be correct and the conditions supporting our assumptions or estimates may change at any time, reducing the predictive accuracy of these underlying factors. As a result, our performance as indicated by the illustrative unit economics provided in this prospectus, our estimates of the addressable market for our product and services, as well as the expected growth rate for such market, may prove to be incorrect. Any material change to our assumptions or expectations with respect to the foregoing may have a material adverse effect on our business prospects, financial condition, results of operations and cash flows and could harm our reputation.</w:t>
      </w:r>
    </w:p>
    <w:p>
      <w:pPr>
        <w:spacing w:after="0" w:line="101" w:lineRule="exact"/>
        <w:rPr>
          <w:sz w:val="20"/>
          <w:szCs w:val="20"/>
          <w:color w:val="auto"/>
        </w:rPr>
      </w:pPr>
    </w:p>
    <w:p>
      <w:pPr>
        <w:jc w:val="both"/>
        <w:ind w:left="1160" w:right="1159" w:firstLine="258"/>
        <w:spacing w:after="0" w:line="176" w:lineRule="exact"/>
        <w:rPr>
          <w:sz w:val="20"/>
          <w:szCs w:val="20"/>
          <w:color w:val="auto"/>
        </w:rPr>
      </w:pPr>
      <w:r>
        <w:rPr>
          <w:rFonts w:ascii="Times New Roman" w:cs="Times New Roman" w:eastAsia="Times New Roman" w:hAnsi="Times New Roman"/>
          <w:sz w:val="14"/>
          <w:szCs w:val="14"/>
          <w:color w:val="auto"/>
        </w:rPr>
        <w:t>In addition, changes in macroeconomic conditions, rising interest rates, or shifts in buyer preferences (including hyperscalers’ evolving siting and energy strategies, or preference for behind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meter solutions) could delay offtake decisions and reduce demand for our power.</w:t>
      </w:r>
    </w:p>
    <w:p>
      <w:pPr>
        <w:spacing w:after="0" w:line="113" w:lineRule="exact"/>
        <w:rPr>
          <w:sz w:val="20"/>
          <w:szCs w:val="20"/>
          <w:color w:val="auto"/>
        </w:rPr>
      </w:pPr>
    </w:p>
    <w:p>
      <w:pPr>
        <w:jc w:val="both"/>
        <w:ind w:left="11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Energy prices are inherently volatile, and fluctuations can significantly impact the electricity prices we are able to secure in future PPAs.</w:t>
      </w:r>
    </w:p>
    <w:p>
      <w:pPr>
        <w:spacing w:after="0" w:line="77" w:lineRule="exact"/>
        <w:rPr>
          <w:sz w:val="20"/>
          <w:szCs w:val="20"/>
          <w:color w:val="auto"/>
        </w:rPr>
      </w:pPr>
    </w:p>
    <w:p>
      <w:pPr>
        <w:jc w:val="both"/>
        <w:ind w:left="1160" w:right="1179" w:firstLine="258"/>
        <w:spacing w:after="0" w:line="191" w:lineRule="exact"/>
        <w:rPr>
          <w:sz w:val="20"/>
          <w:szCs w:val="20"/>
          <w:color w:val="auto"/>
        </w:rPr>
      </w:pPr>
      <w:r>
        <w:rPr>
          <w:rFonts w:ascii="Times New Roman" w:cs="Times New Roman" w:eastAsia="Times New Roman" w:hAnsi="Times New Roman"/>
          <w:sz w:val="14"/>
          <w:szCs w:val="14"/>
          <w:color w:val="auto"/>
        </w:rPr>
        <w:t>Energy prices are subject to a multitude of factors that contribute to their inherent volatility. Geopolitical events, supply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demand imbalances, policy shifts, and technology cost curves can influence energy markets. During periods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175" w:lineRule="exact"/>
        <w:rPr>
          <w:sz w:val="20"/>
          <w:szCs w:val="20"/>
          <w:color w:val="auto"/>
        </w:rPr>
      </w:pPr>
      <w:r>
        <w:rPr>
          <w:rFonts w:ascii="Times New Roman" w:cs="Times New Roman" w:eastAsia="Times New Roman" w:hAnsi="Times New Roman"/>
          <w:sz w:val="14"/>
          <w:szCs w:val="14"/>
          <w:color w:val="auto"/>
        </w:rPr>
        <w:t>of elevated wholesale prices, we may secure attractive PPA pricing and terms; however, when prices decline or competition intensifies, negotiating advantageous PPAs can become more challenging. This volatility complicates financial forecasting and capital planning for standardized GeoBlocks across our GeoClusters and could reduce revenue visibility. In addition, if energy buyers prioritize lowest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cost intermittent options or defer procurement due to market uncertainty, our ability to execute programmatic offtake could be impacted.</w:t>
      </w:r>
    </w:p>
    <w:p>
      <w:pPr>
        <w:spacing w:after="0" w:line="116"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During periods of high energy prices, we may benefit from favorable PPA terms, allowing us to secure higher electricity prices and enhance profitability. However, when energy prices decline, negotiating advantageous PPAs becomes challenging, potentially leading to reduced revenue and financial strain. The unpredictability of energy prices complicates financial forecasting and strategic planning, as companies must account for potential price fluctuations in our projections. Additionally, the competitive landscape for PPAs may intensify during periods of price volatility, as energy buyers seek to lock in favorable terms amidst uncertain market conditions.</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impact of energy price volatility extends beyond immediate financial considerations and can influence investment decisions. This uncertainty can hinder growth and innovation within our business, affecting our ability to compete with other renewable energy sources. Furthermore, fluctuating energy prices can affect stakeholder confidence, including investors, lenders, and partners, who may perceive increased risk in the company’s operations and financial outlook. As a result, effectively managing energy price volatility and its implications for PPAs is crucial for maintaining financial health and achieving long-term strategic objectives.</w:t>
      </w:r>
    </w:p>
    <w:p>
      <w:pPr>
        <w:spacing w:after="0" w:line="97"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Claims that some geothermal power plants cause increased risk of induced seismicity could impact our operating procedures and increase our operating costs, or delay or increase the cost of further development.</w:t>
      </w:r>
    </w:p>
    <w:p>
      <w:pPr>
        <w:spacing w:after="0" w:line="45" w:lineRule="exact"/>
        <w:rPr>
          <w:sz w:val="20"/>
          <w:szCs w:val="20"/>
          <w:color w:val="auto"/>
        </w:rPr>
      </w:pPr>
    </w:p>
    <w:p>
      <w:pPr>
        <w:ind w:left="1160" w:right="1199" w:firstLine="258"/>
        <w:spacing w:after="0" w:line="176" w:lineRule="exact"/>
        <w:rPr>
          <w:sz w:val="20"/>
          <w:szCs w:val="20"/>
          <w:color w:val="auto"/>
        </w:rPr>
      </w:pPr>
      <w:r>
        <w:rPr>
          <w:rFonts w:ascii="Times New Roman" w:cs="Times New Roman" w:eastAsia="Times New Roman" w:hAnsi="Times New Roman"/>
          <w:sz w:val="14"/>
          <w:szCs w:val="14"/>
          <w:color w:val="auto"/>
        </w:rPr>
        <w:t>Our wellfields and operations may be subject to frequent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seismic disturbances, natural or induced. Serious seismic disturbances are possible, including earthquakes, volcanic eruptions and lava flows, and could result in damage to equipment or degraded subsurface resources to such an extent that we could not perform under the PPA for the affected power plant, which in turn could reduce our net income and adversely affect our financial condition and cash flow. Researchers and regulators have identified a potential link between hydraulic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stimulation activities and seismic events, which may lead to heightened scrutiny and potential litigation in certain jurisdictions. Another aspect of geothermal operations is the management and stabilization of subsurface impacts, including ground subsidence or inflation, related to reservoir creation and injection. Inflation and subsidence, if not controlled, can adversely affect agricultural operations and infrastructure at or near the land surface, prompt new permit conditions or setbacks, result in curtailments that impair our ability to perform under affected PPAs, and increase</w:t>
      </w:r>
    </w:p>
    <w:p>
      <w:pPr>
        <w:sectPr>
          <w:pgSz w:w="11900" w:h="16872" w:orient="portrait"/>
          <w:cols w:equalWidth="0" w:num="1">
            <w:col w:w="9019"/>
          </w:cols>
          <w:pgMar w:left="1440" w:top="168" w:right="1440" w:bottom="0" w:gutter="0" w:footer="0" w:header="0"/>
        </w:sectPr>
      </w:pPr>
    </w:p>
    <w:bookmarkStart w:id="48" w:name="page49"/>
    <w:bookmarkEnd w:id="48"/>
    <w:p>
      <w:pPr>
        <w:ind w:left="1160"/>
        <w:spacing w:after="0"/>
        <w:rPr>
          <w:sz w:val="20"/>
          <w:szCs w:val="20"/>
          <w:color w:val="auto"/>
        </w:rPr>
      </w:pPr>
      <w:r>
        <w:rPr>
          <w:rFonts w:ascii="Times New Roman" w:cs="Times New Roman" w:eastAsia="Times New Roman" w:hAnsi="Times New Roman"/>
          <w:sz w:val="14"/>
          <w:szCs w:val="14"/>
          <w:color w:val="auto"/>
        </w:rPr>
        <w:t>potential exposure to third-party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9"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If regulators impose additional restrictions, monitoring, or permitting conditions specific to EGS stimulation and injection as part of our reservoir creation process, our ability to develop or operate projects could be delayed, constrained, or made more costly. Public opposition to perceived or real seismic risks could also raise permitting hurdles and community engagement costs. If we suffer a serious seismic disturbance, our insurance may be inadequate to cover all losses, and future coverage may be more expensive or unavailable. Further, the potential for seismic events and subsurface impacts, such as ground subsidence or inflation, associated with our operations may expose us to litigation, including claims for property damage, personal injury, or nuisance. Even if such claims lack merit, defending them could be costly and time-consuming. Heightened scrutiny, regulatory changes, or litigation arising from seismic concerns could materially and adversely affect our operations, reputation, and financial performance.</w:t>
      </w:r>
    </w:p>
    <w:p>
      <w:pPr>
        <w:spacing w:after="0" w:line="103"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If we suffer a serious seismic disturbance due to induced seismicity, our business interruption and property damage insurance may not be adequate to cover all losses sustained as a result thereof and insurance coverage may not continue to be available in the future in amounts adequate to insure against such seismic disturbances. Additionally, any such event could have a material impact on EGS’s reputation and pose a risk to future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Changes in the availability and cost of oil, natural gas, and other forms of energy are subject to volatile market conditions that could adversely affect our business prospects, financial condition, results of operations, and cash flows.</w:t>
      </w:r>
    </w:p>
    <w:p>
      <w:pPr>
        <w:spacing w:after="0" w:line="91" w:lineRule="exact"/>
        <w:rPr>
          <w:sz w:val="20"/>
          <w:szCs w:val="20"/>
          <w:color w:val="auto"/>
        </w:rPr>
      </w:pPr>
    </w:p>
    <w:p>
      <w:pPr>
        <w:ind w:left="1160" w:right="1219" w:firstLine="258"/>
        <w:spacing w:after="0" w:line="174" w:lineRule="exact"/>
        <w:rPr>
          <w:sz w:val="20"/>
          <w:szCs w:val="20"/>
          <w:color w:val="auto"/>
        </w:rPr>
      </w:pPr>
      <w:r>
        <w:rPr>
          <w:rFonts w:ascii="Times New Roman" w:cs="Times New Roman" w:eastAsia="Times New Roman" w:hAnsi="Times New Roman"/>
          <w:sz w:val="14"/>
          <w:szCs w:val="14"/>
          <w:color w:val="auto"/>
        </w:rPr>
        <w:t>Decreases in energy prices or increases in the cost of geothermal energy relative to alternative generation resources may reduce the attractiveness of our offering. We believe some purchasers currently view our product as comparatively attractive to new natural gas generation in part due to extended delivery times and other constraints affecting the manufacture and installation of gas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fired turbines and balance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plant equipment. If those manufacturing constraints ease sooner than anticipated, or if natural gas fuel prices decline or remain depressed, utilities and data center customers may elect to procure natural gas resources instead of geothermal in the near term. To the extent such uncertainties cause customers to become more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sensitive or adjust procurement plans away from geothermal, our business prospects and financial results could be adversely affected.</w:t>
      </w:r>
    </w:p>
    <w:p>
      <w:pPr>
        <w:spacing w:after="0" w:line="88" w:lineRule="exact"/>
        <w:rPr>
          <w:sz w:val="20"/>
          <w:szCs w:val="20"/>
          <w:color w:val="auto"/>
        </w:rPr>
      </w:pPr>
    </w:p>
    <w:p>
      <w:pPr>
        <w:ind w:left="1160" w:right="1539" w:firstLine="258"/>
        <w:spacing w:after="0" w:line="195" w:lineRule="exact"/>
        <w:rPr>
          <w:sz w:val="20"/>
          <w:szCs w:val="20"/>
          <w:color w:val="auto"/>
        </w:rPr>
      </w:pPr>
      <w:r>
        <w:rPr>
          <w:rFonts w:ascii="Times New Roman" w:cs="Times New Roman" w:eastAsia="Times New Roman" w:hAnsi="Times New Roman"/>
          <w:sz w:val="14"/>
          <w:szCs w:val="14"/>
          <w:color w:val="auto"/>
        </w:rPr>
        <w:t>Recent industry analyses indicate that average lead times for new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build combined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cycle gas turbines have extended to approximately five years or longer. Should these lead times contract toward historical norms, our relative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competitiveness could be negatively impacted.</w:t>
      </w:r>
    </w:p>
    <w:p>
      <w:pPr>
        <w:spacing w:after="0" w:line="92" w:lineRule="exact"/>
        <w:rPr>
          <w:sz w:val="20"/>
          <w:szCs w:val="20"/>
          <w:color w:val="auto"/>
        </w:rPr>
      </w:pPr>
    </w:p>
    <w:p>
      <w:pPr>
        <w:ind w:left="1160" w:right="1339" w:firstLine="258"/>
        <w:spacing w:after="0" w:line="260" w:lineRule="auto"/>
        <w:rPr>
          <w:sz w:val="20"/>
          <w:szCs w:val="20"/>
          <w:color w:val="auto"/>
        </w:rPr>
      </w:pPr>
      <w:r>
        <w:rPr>
          <w:rFonts w:ascii="Times New Roman" w:cs="Times New Roman" w:eastAsia="Times New Roman" w:hAnsi="Times New Roman"/>
          <w:sz w:val="14"/>
          <w:szCs w:val="14"/>
          <w:color w:val="auto"/>
        </w:rPr>
        <w:t>More broadly, the market for firm generation is evolving rapidly. If (i) natural gas generator manufacturing backlogs abate; (ii) new generating capacity powered by fossil fuels enters service faster than expected; (iii) transmission and interconnection bottlenecks ease for competing resources; (iv) costs for solar, storage, or other alternatives decline; (v) technological advances, including improvements to batteries, render other energy sources like solar, nuclear, wind or other alternative energy sources more attractive; or (vi) state or corporate decarbonization targets are reduced or delayed due to affordability concerns, our customers may favor other generation sources over geothermal. Any of these developments could reduce demand for our projects, impair our ability to secure or maintain PPAs on acceptable terms, or otherwise adversely affect our business, financial condition, and results of operations.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Intense competition from other renewable energy sources could limit our growth and profitability.</w:t>
      </w:r>
    </w:p>
    <w:p>
      <w:pPr>
        <w:spacing w:after="0" w:line="144" w:lineRule="exact"/>
        <w:rPr>
          <w:sz w:val="20"/>
          <w:szCs w:val="20"/>
          <w:color w:val="auto"/>
        </w:rPr>
      </w:pPr>
    </w:p>
    <w:p>
      <w:pPr>
        <w:ind w:left="1160" w:right="1259" w:firstLine="258"/>
        <w:spacing w:after="0" w:line="174" w:lineRule="exact"/>
        <w:rPr>
          <w:sz w:val="20"/>
          <w:szCs w:val="20"/>
          <w:color w:val="auto"/>
        </w:rPr>
      </w:pPr>
      <w:r>
        <w:rPr>
          <w:rFonts w:ascii="Times New Roman" w:cs="Times New Roman" w:eastAsia="Times New Roman" w:hAnsi="Times New Roman"/>
          <w:sz w:val="14"/>
          <w:szCs w:val="14"/>
          <w:color w:val="auto"/>
        </w:rPr>
        <w:t>The renewable market remains highly competitive, with solar, wind, hydro, and nuclear (including SMRs) in particular, given its capacity for baseload generation, competing for utility and hyperscaler procurement. Advances in these technologies, declining costs, or superior access to capital and supply chain could reduce demand for EGS. To remain competitive, we must continue to improve unit economics through EGS learning curves, deeper and longer laterals that access higher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temperature rock, and standardized 50-megawatt ORC deployments with reliable turbine suppliers. Failure to demonstrate a compelling cost and deliverability profile relative to competing baseload or hybrid solutions could erode our market position and margins.</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Rapid technological change in the energy sector could reduce the competitiveness of geothermal energy.</w:t>
      </w:r>
    </w:p>
    <w:p>
      <w:pPr>
        <w:spacing w:after="0" w:line="144" w:lineRule="exact"/>
        <w:rPr>
          <w:sz w:val="20"/>
          <w:szCs w:val="20"/>
          <w:color w:val="auto"/>
        </w:rPr>
      </w:pPr>
    </w:p>
    <w:p>
      <w:pPr>
        <w:ind w:left="1160" w:right="1159" w:firstLine="258"/>
        <w:spacing w:after="0" w:line="174" w:lineRule="exact"/>
        <w:rPr>
          <w:sz w:val="20"/>
          <w:szCs w:val="20"/>
          <w:color w:val="auto"/>
        </w:rPr>
      </w:pPr>
      <w:r>
        <w:rPr>
          <w:rFonts w:ascii="Times New Roman" w:cs="Times New Roman" w:eastAsia="Times New Roman" w:hAnsi="Times New Roman"/>
          <w:sz w:val="14"/>
          <w:szCs w:val="14"/>
          <w:color w:val="auto"/>
        </w:rPr>
        <w:t>The sector is characterized by continual innovation in generation, storage, and load management. Advances in solar, wind, nuclear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duration storage—combined with evolving grid planning paradigms—could reduce the relative attractiveness of baseload resources. While our design anchors around modular GeoBlocks and standardized ORC equipment from established manufacturers, we may not be able to maintain a cost or deliverability advantage if other technologies achieve faster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expected cost declines, novel financing constructs, or improved grid integration pathways.</w:t>
      </w:r>
    </w:p>
    <w:p>
      <w:pPr>
        <w:spacing w:after="0" w:line="11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To maintain our competitive edge, we must invest in research and development, adapt to changing market conditions, and demonstrate the unique value proposition of geothermal energy, such as baseload reliability and low carbon emissions. However, there is no guarantee that we will be able to keep pace with technological advancements or differentiate our products and services. Failure to do so could erode our market position, reduce profitability, and hinder our ability to achieve sustainable growth in an increasingly competitive landscape.</w:t>
      </w:r>
    </w:p>
    <w:p>
      <w:pPr>
        <w:sectPr>
          <w:pgSz w:w="11900" w:h="16838" w:orient="portrait"/>
          <w:cols w:equalWidth="0" w:num="1">
            <w:col w:w="9019"/>
          </w:cols>
          <w:pgMar w:left="1440" w:top="94" w:right="1440" w:bottom="4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94" w:right="1440" w:bottom="448" w:gutter="0" w:footer="0" w:header="0"/>
          <w:type w:val="continuous"/>
        </w:sectPr>
      </w:pPr>
    </w:p>
    <w:bookmarkStart w:id="49" w:name="page50"/>
    <w:bookmarkEnd w:id="49"/>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-92075</wp:posOffset>
            </wp:positionV>
            <wp:extent cx="716026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Governmental policy shifts favoring alternative baseload technologies or changing procurement mandates could alter our competitive position.</w:t>
      </w:r>
    </w:p>
    <w:p>
      <w:pPr>
        <w:spacing w:after="0" w:line="77" w:lineRule="exact"/>
        <w:rPr>
          <w:sz w:val="20"/>
          <w:szCs w:val="20"/>
          <w:color w:val="auto"/>
        </w:rPr>
      </w:pPr>
    </w:p>
    <w:p>
      <w:pPr>
        <w:ind w:left="1160" w:right="1259" w:firstLine="258"/>
        <w:spacing w:after="0" w:line="178" w:lineRule="exact"/>
        <w:rPr>
          <w:sz w:val="20"/>
          <w:szCs w:val="20"/>
          <w:color w:val="auto"/>
        </w:rPr>
      </w:pPr>
      <w:r>
        <w:rPr>
          <w:rFonts w:ascii="Times New Roman" w:cs="Times New Roman" w:eastAsia="Times New Roman" w:hAnsi="Times New Roman"/>
          <w:sz w:val="14"/>
          <w:szCs w:val="14"/>
          <w:color w:val="auto"/>
        </w:rPr>
        <w:t>Policy developments that accelerate nuclear (including SMRs), backstop gas with carbon capture, or otherwise prioritize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geothermal baseload power might reduce the relative attractiveness of EGS to utilities and hyperscalers, or redirect incentive regimes. Such shifts could impede our ability to scale programmatic offtake for our operations, adversely impacting our development timelines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growth trajectory. For example, changes to procurement mandates, interconnection prioritization, or credit allocation could channel transmission capacity and public support toward alternative resources. Resulting policy signals may raise our cost of capital, require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or restructuring of pending offtake, and delay sequencing of key operations.</w:t>
      </w:r>
    </w:p>
    <w:p>
      <w:pPr>
        <w:spacing w:after="0" w:line="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could impact geothermal resources and our operations.</w:t>
      </w:r>
    </w:p>
    <w:p>
      <w:pPr>
        <w:spacing w:after="0" w:line="144" w:lineRule="exact"/>
        <w:rPr>
          <w:sz w:val="20"/>
          <w:szCs w:val="20"/>
          <w:color w:val="auto"/>
        </w:rPr>
      </w:pPr>
    </w:p>
    <w:p>
      <w:pPr>
        <w:ind w:left="1160" w:right="1319" w:firstLine="258"/>
        <w:spacing w:after="0" w:line="174" w:lineRule="exact"/>
        <w:rPr>
          <w:sz w:val="20"/>
          <w:szCs w:val="20"/>
          <w:color w:val="auto"/>
        </w:rPr>
      </w:pPr>
      <w:r>
        <w:rPr>
          <w:rFonts w:ascii="Times New Roman" w:cs="Times New Roman" w:eastAsia="Times New Roman" w:hAnsi="Times New Roman"/>
          <w:sz w:val="14"/>
          <w:szCs w:val="14"/>
          <w:color w:val="auto"/>
        </w:rPr>
        <w:t>Changes in climate patterns could affect groundwater levels, temperature, precipitation, permitting related to water sourcing, and the efficiency of ORC systems due to ambient temperature impacts. Extreme weather events, which are becoming more frequent and severe as a result of climate change, could damage infrastructure, interrupt operations, or increase maintenance costs. Climate policies may introduce additional regulatory requirements or operational constraints. While our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design and brine reinjection minimize water usage relative to water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systems, climate variability and regulatory changes may still increase compliance and operational costs, and affect development timelines within our GeoClusters.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Financing</w:t>
      </w:r>
    </w:p>
    <w:p>
      <w:pPr>
        <w:spacing w:after="0" w:line="138"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obtain the financing we need to pursue our growth strategy and any future financing we receive may be less favorable to us than our current financing arrangements, either of which may adversely affect our ability to expand our operations.</w:t>
      </w:r>
    </w:p>
    <w:p>
      <w:pPr>
        <w:spacing w:after="0" w:line="9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Some of our geothermal power plants have been financed using leveraged financing structures, consisting of non-recourse or limited recourse debt obligations. Each of our projects under development or construction and those projects and businesses we may seek to acquire or construct will require substantial capital investment, including to construct and place in service our standardized 50-megawatt ORC GeoBlocks within large GeoClusters such as Cape Station. Our continued access to capital on acceptable or favorable terms to us is necessary for the success of our growth strategy, particularly in enhancing our portfolio through M&amp;A activities and executing binding PPAs with investment-grade utilities and hyperscalers. Our attempts to obtain future financings may not be successful or on favorable terms.</w:t>
      </w:r>
    </w:p>
    <w:p>
      <w:pPr>
        <w:spacing w:after="0" w:line="103"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In recent years, we have also increased our corporate recourse debt at the holding company level due to our ability to obtain improved economic terms. This additional indebtedness may make it more difficult for us to refinance or borrow additional funds in the future, limiting our ability to pursue our growth strategy.</w:t>
      </w:r>
    </w:p>
    <w:p>
      <w:pPr>
        <w:spacing w:after="0" w:line="9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Market conditions and other factors may not permit future project and acquisition financings on terms similar to those we have previously received. Our ability to arrange for financing on a substantially non-recourse or limited recourse basis, and the costs of such financing, are dependent on numerous factors, including general economic conditions, conditions in the global capital and credit markets, investor confidence, the continued success of current power plants, the credit quality of the power plants being financed, the political situation in the country where the power plant is located, and the continued existence of tax and securities laws which are conducive to raising capital; while certain federal and state policy tailwinds may support geothermal (e.g., tax credits and streamlined permitting), such support may not be available or sufficient. Additionally, a high-interest-rate environment can make borrowing more expensive or limit the availability of financing options, including asset-level capital that we otherwise expect to access. If we are not able to obtain financing for our power plants on a substantially non-recourse or limited recourse basis, we may have to finance them using recourse capital such as direct equity investments or the incurrence of additional debt by us.</w:t>
      </w:r>
    </w:p>
    <w:p>
      <w:pPr>
        <w:spacing w:after="0" w:line="106"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Also, in the absence of favorable financing options, we may decide not to build new plants or acquire facilities from third parties. Any of these alternatives could have a material adverse effect on our growth prospects.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may also need additional financing to implement our strategic plan. For example, our cash flow from operations and existing liquidity facilities may not be adequate to finance any acquisitions we may want to pursue or new technologies we may want to develop or acquire. Financing for acquisitions or technology development activities may not be available on the non-recourse or limited recourse basis we have historically used for our business, or on other terms we find acceptable. Even where we secure programmatic offtake or multi-year procurement for ORC equipment and drilling services, we may still be required to provide more corporate support than anticipated or accept restrictive covenants and security packages.</w:t>
      </w:r>
    </w:p>
    <w:p>
      <w:pPr>
        <w:spacing w:after="0" w:line="97" w:lineRule="exact"/>
        <w:rPr>
          <w:sz w:val="20"/>
          <w:szCs w:val="20"/>
          <w:color w:val="auto"/>
        </w:rPr>
      </w:pPr>
    </w:p>
    <w:p>
      <w:pPr>
        <w:ind w:left="1160" w:right="1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debt obligations may adversely affect our ability to raise additional capital and will be a burden on our future cash resources, particularly if we elect to settle these obligations in cash upon conversion or upon maturity or required repurchase.</w:t>
      </w:r>
    </w:p>
    <w:p>
      <w:pPr>
        <w:spacing w:after="0" w:line="9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As of December 31, 2025 , we had $145.6 million in aggregate principal amount outstanding under our XRC Facility and Credit Facility. Subsequently, on March 6, 2026, we closed the approximately $421.4 million Project Granite Facility, further increasing our debt obligations, and on April 14, 2026, we used the proceeds from the new Project Granite Facility to repay the XRC Facility. The Project Granite Facility is secured by the project-level assets and equity interests of the borrower subsidiaries, contains customary covenants and includes customary events of default, the occurrence of which could result in acceleration of the obligations thereunder or foreclosure on the pledged collateral. Our ability to meet our payment obligations under our existing financing arrangements depends on our future cash flow performance. This is subject to general economic, financial, competitive, legislative and regulatory factors, as well as other factors that may be beyond our control. There can be no assurance that our business will generate positive cash flow from operations, or that additional capital will be available to us, in an amount sufficient to enable us to meet our debt payment obligations and to fund other liquidity needs. If we are unable to generate sufficient cash flow to service our debt obligations, we may need to refinance or restructure our debt, sell assets, reduce or delay capital investments, or seek to raise additional capital. Our ability to refinance our</w:t>
      </w:r>
    </w:p>
    <w:p>
      <w:pPr>
        <w:sectPr>
          <w:pgSz w:w="11900" w:h="16867" w:orient="portrait"/>
          <w:cols w:equalWidth="0" w:num="1">
            <w:col w:w="9019"/>
          </w:cols>
          <w:pgMar w:left="1440" w:top="125" w:right="1440" w:bottom="0" w:gutter="0" w:footer="0" w:header="0"/>
        </w:sectPr>
      </w:pPr>
    </w:p>
    <w:bookmarkStart w:id="50" w:name="page51"/>
    <w:bookmarkEnd w:id="50"/>
    <w:p>
      <w:pPr>
        <w:ind w:left="1160" w:right="1339"/>
        <w:spacing w:after="0" w:line="249" w:lineRule="auto"/>
        <w:rPr>
          <w:sz w:val="20"/>
          <w:szCs w:val="20"/>
          <w:color w:val="auto"/>
        </w:rPr>
      </w:pPr>
      <w:r>
        <w:rPr>
          <w:rFonts w:ascii="Times New Roman" w:cs="Times New Roman" w:eastAsia="Times New Roman" w:hAnsi="Times New Roman"/>
          <w:sz w:val="14"/>
          <w:szCs w:val="14"/>
          <w:color w:val="auto"/>
        </w:rPr>
        <w:t>indebtedness will depend on the capital markets and our financial condition at such time. We may not be able to engage in any of these activities or engage in these activities on desirable terms, which could result in a default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99"/>
        <w:spacing w:after="0" w:line="261" w:lineRule="auto"/>
        <w:rPr>
          <w:sz w:val="20"/>
          <w:szCs w:val="20"/>
          <w:color w:val="auto"/>
        </w:rPr>
      </w:pPr>
      <w:r>
        <w:rPr>
          <w:rFonts w:ascii="Times New Roman" w:cs="Times New Roman" w:eastAsia="Times New Roman" w:hAnsi="Times New Roman"/>
          <w:sz w:val="14"/>
          <w:szCs w:val="14"/>
          <w:color w:val="auto"/>
        </w:rPr>
        <w:t>our debt obligations. As a result, we may be more vulnerable to economic downturns, less able to withstand competitive pressures and less flexible in responding to changing business and economic conditions. In addition, delays in GeoBlock deployment, interconnection, or permitting within a GeoCluster could affect project-level cash flows and covenant compliance.</w:t>
      </w:r>
    </w:p>
    <w:p>
      <w:pPr>
        <w:spacing w:after="0" w:line="98" w:lineRule="exact"/>
        <w:rPr>
          <w:sz w:val="20"/>
          <w:szCs w:val="20"/>
          <w:color w:val="auto"/>
        </w:rPr>
      </w:pPr>
    </w:p>
    <w:p>
      <w:pPr>
        <w:ind w:left="1160" w:right="12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power plants have generally been financed through a combination of our corporate funds and limited or non-recourse project finance debt and lease financing. If our project subsidiaries default on their obligations under such limited or non-recourse debt or lease financing, we may be required to make certain payments to the relevant debt holders, and if the collateral supporting such leveraged financing structures is foreclosed upon, we may lose certain of our power plants.</w:t>
      </w:r>
    </w:p>
    <w:p>
      <w:pPr>
        <w:spacing w:after="0" w:line="100"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Our power plants have generally been financed using a combination of our corporate funds and limited or non-recourse project finance debt or lease financing. Limited recourse project finance debt refers to our additional agreement, as part of the financing of a power plant, to provide limited financial support for the power plant subsidiary in the form of limited guarantees, indemnities, capital contributions and agreements to pay certain debt service deficiencies. Non-recourse project finance debt or lease financing refers to financing arrangements that are repaid solely from the power plant’s revenues and are secured by the power plant’s physical assets, major contracts, cash accounts and, in many cases, our ownership interest in the project subsidiary. If our project subsidiaries default on their obligations under the relevant debt documents, creditors of a limited recourse project financing will have direct recourse to us, to the extent of our limited recourse obligations, which may require us to use distributions received by us from other power plants, as well as other sources of cash available to us, in order to satisfy such obligations. In addition, if our project subsidiaries default on their obligations under the relevant debt documents (or a default under such debt documents arises as a result of a cross-default to the debt documents of some of our other power plants) and the creditors foreclose on the relevant collateral, we may lose our ownership interest in the relevant project subsidiary or our project subsidiary owning the power plant would only retain an interest in the physical assets, if any, remaining after all debts and obligations were paid in full. While our standardized, modular GeoBlock approach is intended to support replicable diligence and financing, there is no assurance that lenders will ascribe the same value to such standardization across projects or through market cycles.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In addition to the foregoing, we currently have outstanding indebtedness, and our ability to comply with the terms of such indebtedness, refinance or repay it at maturity, and raise additional capital when needed depends on a variety of factors, many of which are outside our control. We are party to both the Project Granite Facility and the Credit Facility, which include a term loan and a letter of credit facility used to support development and PPA-related security. The Credit Facility is secured by substantially all assets of our wholly owned subsidiary Fervo HoldCo LLC, the borrower, and equity interests in certain subsidiaries and contains customary covenants and events of default that, among other things, restrict additional indebtedness and liens, asset sales, investments, and distributions. A breach of these covenants or other defaults could result in acceleration and foreclosure on the pledged collateral, and may also constrain our ability to deploy cash to projects or to fund corporate operations. The Project Granite Facility also includes customary affirmative and negative covenants, including payment and covenant events of default. These covenants restrict additional indebtedness and liens, asset sales, investments, and distributions. Separately, if an event of default occurs, the lender may cease making any further loan advances and/ or declare all outstanding obligations immediately due and payable. We also maintain letters of credit and surety bonds to support our project obligations; if drawn or called, we are obligated to reimburse the issuing bank or surety promptly, which could adversely affect our liquidity.</w:t>
      </w:r>
    </w:p>
    <w:p>
      <w:pPr>
        <w:spacing w:after="0" w:line="11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At the project level, we have entered into the Project Granite Facility, a construction to term financing arrangement for our Cape Station Phase I project that is secured by first-priority liens on project assets and equity and benefits from a limited parent guaranty for certain tax matters. This facility bears a floating interest rate and is intended to convert into a term loan upon completion of the project. While the Project Granite Facility is generally non-recourse to the Company, its successful repayment or refinancing is dependent on project performance, and our successful execution of the project. If we are unable to satisfy conditions to draw remaining availability or to refinance at acceptable terms or at all or repay this facility when due, we could be required to contribute additional equity, limit distributions from the project, or agree to more restrictive terms in a refinancing. Defaults under our project-level facilities could permit lenders to foreclose on project collateral and/or trigger cross-defaults under other agreements.</w:t>
      </w:r>
    </w:p>
    <w:p>
      <w:pPr>
        <w:spacing w:after="0" w:line="278"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We have entered into agreements related to preferred and junior preferred equity investments by Catalyst and Centaurus in Cape Station Phase I and are also pursuing further preferred equity and related financing arrangements at the project level for other future projects, including Cape Station Phase II. We expect Cape Station Phase II to require approximately $2.2 billion in capital expenditures through 2028, and that we will seek to raise a significant portion of that amount in the form of project-level debt financing. The availability of project-level financing for certain of our projects, including Cape Station Phase II, is dependent on our ability to demonstrate firm deliverability under existing offtake arrangements. To the extent that we are unable to secure sufficient interconnection capacity, transmission service, or alternative delivery structures (including behind-the-meter arrangements), lenders and other capital providers may determine that such projects are not financeable on a non-recourse or limited recourse basis. In particular, if transmission constraints are not resolved or circumvented and we are unable to demonstrate full deliverability under our PPAs, we may be unable to obtain project finance debt for such projects In such circumstances, we will be required to delay, downsize or restructure such projects, or to fund a greater portion of capital expenditures with corporate equity or other higher-cost capital, which will materially increase our cost of capital and reduce returns. Furthermore, the timing of any alternative delivery or offtake arrangements, including behind-the-meter structures, may not align with financing or development milestones, which could delay or impair our ability to obtain project financing. Collectively, our existing corporate and project-level indebtedness, letters of credit and surety arrangements, and any preferred or junior preferred project financing, increase our fixed obligations and limit our financial and operational flexibility.</w:t>
      </w:r>
    </w:p>
    <w:p>
      <w:pPr>
        <w:spacing w:after="0" w:line="1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Legal and Regulatory Concerns</w:t>
      </w:r>
    </w:p>
    <w:p>
      <w:pPr>
        <w:spacing w:after="0" w:line="138" w:lineRule="exact"/>
        <w:rPr>
          <w:sz w:val="20"/>
          <w:szCs w:val="20"/>
          <w:color w:val="auto"/>
        </w:rPr>
      </w:pPr>
    </w:p>
    <w:p>
      <w:pPr>
        <w:ind w:left="1160" w:right="12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currently gains advantages from the availability of tax credits and other benefits, tax exemptions and exclusions, and other financial incentives on the federal, state, and/or local levels. We may be adversely affected by changes in, and application of these laws or other incentives to us, and the expiration, elimination or reduction of these benefits could adversely impact our business.</w:t>
      </w:r>
    </w:p>
    <w:p>
      <w:pPr>
        <w:spacing w:after="0" w:line="96"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Our business benefits from government policies that promote and support clean energy and enhance the economic viability of development of clean energy power generation equipment, wellfield assets, and certain other</w:t>
      </w:r>
    </w:p>
    <w:p>
      <w:pPr>
        <w:sectPr>
          <w:pgSz w:w="11900" w:h="16838" w:orient="portrait"/>
          <w:cols w:equalWidth="0" w:num="1">
            <w:col w:w="9019"/>
          </w:cols>
          <w:pgMar w:left="1440" w:top="94" w:right="1440" w:bottom="0" w:gutter="0" w:footer="0" w:header="0"/>
        </w:sectPr>
      </w:pPr>
    </w:p>
    <w:bookmarkStart w:id="51" w:name="page52"/>
    <w:bookmarkEnd w:id="51"/>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aspects of clean energy production and development. In the United States, various legislation and regulations designed to support the growth of clean energy have been implemented or proposed, such as tax incentives, renewable portfolio standards or feed-in-tariffs that support or are designed to support the sale of energy from utility scale clean energy facilities, including geothermal energy. We rely on these incentives to lower our cost of capital and to attract investors, all of which enable us to lower the price we charge customers for our EGS service offerings. As a result of budgetary constraints, political factors or otherwise, governments from time to time may review such laws and policies and take actions that may not be conducive to clean energy production and development. These incentives could change at any time, may also expire on a particular date, in some cases end when the allocated funding is exhausted, or may be reduced, terminated or repealed without notice. The financial value of certain incentives may also decrease over time. Any reductions or the elimination of governmental incentives or policies that support clean energy, such as the imposition of additional taxes or other assessments on particular sources of clean energy, could result in the lack of a satisfactory market for the development and/or financing of our projects, the need to abandon the development of such projects, a loss of our investments in such projects or reduced project returns from such projects.</w:t>
      </w:r>
    </w:p>
    <w:p>
      <w:pPr>
        <w:spacing w:after="0" w:line="276"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On July 4, 2025, the “One Big Beautiful Bill Act” (“OBBB”) was signed into law. The OBBB substantially modified the clean-energy credit regime established under the Inflation Reduction Act of 2022 (the “IRA”) by accelerating the phase-out—or, in some cases, terminating altogether—the investment tax credits (“ITCs”) and production tax credits (“PTCs”) available to certain renewable energy projects that begin construction after July 4, 2026 or are not placed in service by December 31, 2027. The OBBB also restricts credits for entities linked to countries deemed adverse to U.S. national security, complicating foreign participation and supply-chain strategies, heightening uncertainty over eligibility and compliance.</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In the United States, the IRA implemented new and enhanced many existing incentives for the development and production of renewable energy. In particular, the IRA extended the availability of ITCs and PTCs to certain renewable energy projects. We believe that we may benefit from ITCs and PTCs (including the energy community and domestic content bonuses available under the ITC and PTC, in certain circumstances) with respect to qualifying renewable energy projects.</w:t>
      </w:r>
    </w:p>
    <w:p>
      <w:pPr>
        <w:spacing w:after="0" w:line="99"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application of law and guidance regarding ITC and PTC eligibility to the facts of particular renewable energy projects is subject to a number of uncertainties. The U.S. Internal Revenue Service (“IRS”), Department of Treasury and Congress may modify existing guidance, regulations or laws with respect to the application of the IRA, specifically to address amendments made to the ITCs and PTCs under the OBBB. It is possible that future changes may have a retroactive effect. We may face uncertainties as a result of efforts to pass legislation to repeal, substantially modify or invalidate some or all of the provisions of the IRA. Additionally, our operations and strategic plans may have to change if certain provisions of the IRA were to be repealed, modified or invalidated. Furthermore, there can be no assurance that the IRS will agree with our approach to determining eligibility for ITCs and PTCs in the event of an audit. Any of the foregoing items could reduce the amount of ITCs or PTCs available to us.</w:t>
      </w:r>
    </w:p>
    <w:p>
      <w:pPr>
        <w:spacing w:after="0" w:line="106"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Our business model also benefits from tax exemptions offered at the state and local levels. For example, Utah has sales and use tax abatements for renewable projects. State and local tax exemptions can have sunset dates, triggers for loss of the exemption, and can be changed by state legislatures and other regulators, and if clean energy systems were not exempt from such taxes, the property taxes payable by customers would be higher, which could offset any potential savings our EGS service offerings could offer.</w:t>
      </w:r>
    </w:p>
    <w:p>
      <w:pPr>
        <w:spacing w:after="0" w:line="99"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 general, we benefit from certain state and local tax exemptions that apply in some jurisdictions to the sale and purchase of equipment, sale of power, or both. These state and local tax exemptions can expire, can be changed by state legislatures, or their application to us can be challenged by regulators, tax administrators, or court rulings. Any changes to, or efforts to overturn, federal and state laws, regulations or policies that are supportive of clean energy generation or that remove costs or other limitations on other types of energy generation that compete with EGS energy production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rely on government contracts and grants for a portion of our revenue and to partially fund our research and development activities, and such contracts and grants are subject to a number of uncertainties, challenges, and risks.</w:t>
      </w:r>
    </w:p>
    <w:p>
      <w:pPr>
        <w:spacing w:after="0" w:line="91" w:lineRule="exact"/>
        <w:rPr>
          <w:sz w:val="20"/>
          <w:szCs w:val="20"/>
          <w:color w:val="auto"/>
        </w:rPr>
      </w:pPr>
    </w:p>
    <w:p>
      <w:pPr>
        <w:ind w:left="1160" w:right="1179" w:firstLine="258"/>
        <w:spacing w:after="0" w:line="176" w:lineRule="exact"/>
        <w:rPr>
          <w:sz w:val="20"/>
          <w:szCs w:val="20"/>
          <w:color w:val="auto"/>
        </w:rPr>
      </w:pPr>
      <w:r>
        <w:rPr>
          <w:rFonts w:ascii="Times New Roman" w:cs="Times New Roman" w:eastAsia="Times New Roman" w:hAnsi="Times New Roman"/>
          <w:sz w:val="14"/>
          <w:szCs w:val="14"/>
          <w:color w:val="auto"/>
        </w:rPr>
        <w:t>We currently rely on government grants for a portion of our revenue and to partially fund our research and development activities. For example, we have received a grant from U.S. Department of Energy Geothermal Technologies Office (the “EGS Demos Grant”), which co-funds commercial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scale EGS field demonstrations to validate the technology and derisk deployment toward grid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scale geothermal power. Changes in government priorities or government funding reductions or delays could result in discontinuation of funding under, or termination of, our government grants. Further, the change in U.S. presidential administration could increase this risk. There can be no assurance that we will continue to receive funding under our government grants in the amounts that we expect or at all.</w:t>
      </w:r>
    </w:p>
    <w:p>
      <w:pPr>
        <w:spacing w:after="0" w:line="278"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In addition to government grants, we benefit from certain government subsidies and economic incentives, including tax credits, rebates, and other incentives, that support the development and adoption of clean energy technology. We cannot guarantee that government grants, subsidies, and incentives will be available to us at the same or comparable levels in the future. Any reduction, elimination, or discriminatory application of these grants, subsidies, or incentives in the future may require us to seek additional financing, which may not be obtainable on</w:t>
      </w:r>
    </w:p>
    <w:p>
      <w:pPr>
        <w:sectPr>
          <w:pgSz w:w="11900" w:h="16936" w:orient="portrait"/>
          <w:cols w:equalWidth="0" w:num="1">
            <w:col w:w="9019"/>
          </w:cols>
          <w:pgMar w:left="1440" w:top="361" w:right="1440" w:bottom="0" w:gutter="0" w:footer="0" w:header="0"/>
        </w:sectPr>
      </w:pPr>
    </w:p>
    <w:bookmarkStart w:id="52" w:name="page53"/>
    <w:bookmarkEnd w:id="52"/>
    <w:p>
      <w:pPr>
        <w:spacing w:after="0" w:line="105" w:lineRule="exact"/>
        <w:rPr>
          <w:sz w:val="20"/>
          <w:szCs w:val="20"/>
          <w:color w:val="auto"/>
        </w:rPr>
      </w:pPr>
    </w:p>
    <w:p>
      <w:pPr>
        <w:ind w:left="1160" w:right="1379"/>
        <w:spacing w:after="0" w:line="268" w:lineRule="auto"/>
        <w:rPr>
          <w:sz w:val="20"/>
          <w:szCs w:val="20"/>
          <w:color w:val="auto"/>
        </w:rPr>
      </w:pPr>
      <w:r>
        <w:rPr>
          <w:rFonts w:ascii="Times New Roman" w:cs="Times New Roman" w:eastAsia="Times New Roman" w:hAnsi="Times New Roman"/>
          <w:sz w:val="14"/>
          <w:szCs w:val="14"/>
          <w:color w:val="auto"/>
        </w:rPr>
        <w:t>commercially attractive terms or at all; adversely impact public sector demand for clean energy; and diminish the competitiveness of the clean energy industry generally or EGS in particular. Any change in our ability to secure these grants, subsidies, and incentives could have a material adverse effect on our business, prospects,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-453390</wp:posOffset>
            </wp:positionV>
            <wp:extent cx="716026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3" w:lineRule="exact"/>
        <w:rPr>
          <w:sz w:val="20"/>
          <w:szCs w:val="20"/>
          <w:color w:val="auto"/>
        </w:rPr>
      </w:pPr>
    </w:p>
    <w:p>
      <w:pPr>
        <w:ind w:left="1160" w:right="121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Reliance on government funding may add uncertainty to our research, development and commercialization efforts with respect to those projects that are tied to such funding and may impose requirements that limit our ability to take specified actions, increase the costs of commercialization and production of projects developed under those programs and subject us to potential financial penalties, which could materially and adversely affect our business, financial condition, and results of operations.</w:t>
      </w:r>
    </w:p>
    <w:p>
      <w:pPr>
        <w:spacing w:after="0" w:line="100"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Certain of our development projects have been funded in part through federal and state grants like the EGS Demos Grant. In addition to the funding we have received to date, we have applied and intend to continue to apply for federal and state grants to receive additional funding in the future.</w:t>
      </w:r>
    </w:p>
    <w:p>
      <w:pPr>
        <w:spacing w:after="0" w:line="93"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93" w:lineRule="exact"/>
        <w:rPr>
          <w:sz w:val="20"/>
          <w:szCs w:val="20"/>
          <w:color w:val="auto"/>
        </w:rPr>
      </w:pPr>
    </w:p>
    <w:p>
      <w:pPr>
        <w:ind w:left="1660" w:right="1259" w:hanging="249"/>
        <w:spacing w:after="0" w:line="292"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repayment of all or a portion of the grant proceeds, in specified cases with interest, in the event we violate specified covenants pertaining to various matters that include a failure to achieve;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milestones or terms relating to use of grant proceeds, or to comply with specified laws;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agreements, in whole or in part, for any reason or no reason;</w:t>
      </w:r>
    </w:p>
    <w:p>
      <w:pPr>
        <w:spacing w:after="0" w:line="139" w:lineRule="exact"/>
        <w:rPr>
          <w:rFonts w:ascii="Times New Roman" w:cs="Times New Roman" w:eastAsia="Times New Roman" w:hAnsi="Times New Roman"/>
          <w:sz w:val="14"/>
          <w:szCs w:val="14"/>
          <w:color w:val="auto"/>
        </w:rPr>
      </w:pPr>
    </w:p>
    <w:p>
      <w:pPr>
        <w:ind w:left="1660" w:right="1459" w:hanging="249"/>
        <w:spacing w:after="0" w:line="292"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modify the government’s obligations under such agreements without the consent of the other party;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 rights, including intellectual property rights, in products and data developed under such agreements;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contract related costs and fees, including allocated indirect costs;</w:t>
      </w:r>
    </w:p>
    <w:p>
      <w:pPr>
        <w:spacing w:after="0" w:line="1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qualifications for the engagement of manufacturers, suppliers, and other contractors as well as other criteria for reimbursements;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debar the grantee from doing future business with the government;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and potentially prohibit the export of products;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439" w:hanging="249"/>
        <w:spacing w:after="0" w:line="292" w:lineRule="auto"/>
        <w:tabs>
          <w:tab w:leader="none" w:pos="1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criminal or civil remedies under the federal False Claims Act, False Statements Act, and similar remedy provisions specific to government agreements; and</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74" w:lineRule="auto"/>
        <w:tabs>
          <w:tab w:leader="none" w:pos="1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government’s financial liability to amounts appropriated by the U.S. Congress on a fiscal year basis, thereby leaving some uncertainty about the future availability of funding for a program even after we have been funded for an initial period.</w:t>
      </w:r>
    </w:p>
    <w:p>
      <w:pPr>
        <w:spacing w:after="0" w:line="93" w:lineRule="exact"/>
        <w:rPr>
          <w:sz w:val="20"/>
          <w:szCs w:val="20"/>
          <w:color w:val="auto"/>
        </w:rPr>
      </w:pPr>
    </w:p>
    <w:p>
      <w:pPr>
        <w:ind w:left="1160" w:right="1719" w:firstLine="258"/>
        <w:spacing w:after="0" w:line="292" w:lineRule="auto"/>
        <w:rPr>
          <w:sz w:val="20"/>
          <w:szCs w:val="20"/>
          <w:color w:val="auto"/>
        </w:rPr>
      </w:pPr>
      <w:r>
        <w:rPr>
          <w:rFonts w:ascii="Times New Roman" w:cs="Times New Roman" w:eastAsia="Times New Roman" w:hAnsi="Times New Roman"/>
          <w:sz w:val="14"/>
          <w:szCs w:val="14"/>
          <w:color w:val="auto"/>
        </w:rPr>
        <w:t>In addition to those powers set forth above, the government funding we may receive could also impose requirements to make payments based upon sales of our products, if any, in the future.</w:t>
      </w:r>
    </w:p>
    <w:p>
      <w:pPr>
        <w:spacing w:after="0" w:line="81"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In addition, government grants normally contain additional requirements that may increase our costs of doing business, reduce our profits, and expose us to liability for failure to comply with these terms and conditions. These requirements include, for example:</w:t>
      </w:r>
    </w:p>
    <w:p>
      <w:pPr>
        <w:spacing w:after="0" w:line="93" w:lineRule="exact"/>
        <w:rPr>
          <w:sz w:val="20"/>
          <w:szCs w:val="20"/>
          <w:color w:val="auto"/>
        </w:rPr>
      </w:pPr>
    </w:p>
    <w:p>
      <w:pPr>
        <w:ind w:left="1660" w:hanging="249"/>
        <w:spacing w:after="0"/>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specialized accounting systems unique to government grants;</w:t>
      </w:r>
    </w:p>
    <w:p>
      <w:pPr>
        <w:spacing w:after="0" w:line="139"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financial audits and potential liability for price adjustments or recoupment of government funds after such funds have been spent;</w:t>
      </w:r>
    </w:p>
    <w:p>
      <w:pPr>
        <w:spacing w:after="0" w:line="80"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disclosures of some contract and grant information, which may enable competitors to gain insights into our research program; and</w:t>
      </w:r>
    </w:p>
    <w:p>
      <w:pPr>
        <w:spacing w:after="0" w:line="80" w:lineRule="exact"/>
        <w:rPr>
          <w:rFonts w:ascii="Times New Roman" w:cs="Times New Roman" w:eastAsia="Times New Roman" w:hAnsi="Times New Roman"/>
          <w:sz w:val="14"/>
          <w:szCs w:val="14"/>
          <w:color w:val="auto"/>
        </w:rPr>
      </w:pPr>
    </w:p>
    <w:p>
      <w:pPr>
        <w:ind w:left="1660" w:right="1739" w:hanging="249"/>
        <w:spacing w:after="0" w:line="292" w:lineRule="auto"/>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socioeconomic compliance requirements, including labor standards, nondiscrimination programs, and environmental compliance requirements.</w:t>
      </w:r>
    </w:p>
    <w:p>
      <w:pPr>
        <w:spacing w:after="0" w:line="81"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We have previously been audited in connection with federal grants received and we have been found to have material weaknesses. If we fail in the future to maintain compliance with any such requirements that may apply to us, we may be subject to potential liability and to termination of our contracts.</w:t>
      </w:r>
    </w:p>
    <w:p>
      <w:pPr>
        <w:spacing w:after="0" w:line="89" w:lineRule="exact"/>
        <w:rPr>
          <w:sz w:val="20"/>
          <w:szCs w:val="20"/>
          <w:color w:val="auto"/>
        </w:rPr>
      </w:pPr>
    </w:p>
    <w:p>
      <w:pPr>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Litigation, legal proceedings, regulatory investigations or other administrative proceedings could expose us to significant liabilities and reputational damage that could have a material adverse effect on us.</w:t>
      </w:r>
    </w:p>
    <w:p>
      <w:pPr>
        <w:spacing w:after="0" w:line="77" w:lineRule="exact"/>
        <w:rPr>
          <w:sz w:val="20"/>
          <w:szCs w:val="20"/>
          <w:color w:val="auto"/>
        </w:rPr>
      </w:pPr>
    </w:p>
    <w:p>
      <w:pPr>
        <w:ind w:left="1160" w:right="1199" w:firstLine="258"/>
        <w:spacing w:after="0" w:line="174" w:lineRule="exact"/>
        <w:rPr>
          <w:sz w:val="20"/>
          <w:szCs w:val="20"/>
          <w:color w:val="auto"/>
        </w:rPr>
      </w:pPr>
      <w:r>
        <w:rPr>
          <w:rFonts w:ascii="Times New Roman" w:cs="Times New Roman" w:eastAsia="Times New Roman" w:hAnsi="Times New Roman"/>
          <w:sz w:val="14"/>
          <w:szCs w:val="14"/>
          <w:color w:val="auto"/>
        </w:rPr>
        <w:t>We are involved, in the ordinary course of business, in lawsuits and administrative matters spanning employment, commercial, and environmental issues, and we may face additional regulatory inquiries as we scale GeoClusters and deploy modular 50-megawatt GeoBlocks. We are also involved, in the ordinary course of business, in regulatory investigations and other administrative proceedings, and we are exposed to the risk that we become the subject of additional regulatory investigations or administrative proceedings. Evaluations of these matters require judgment and may prove inaccurate; adverse outcomes or settlements could be material. As we expand our EGS footprint, including at Cape Station, any litigation or investigation could delay development timelines, complicate permitting, constrain programmatic offtake with investment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grade buyers, or increase costs, adversely affecting our business, results of operations, and cash flows.</w:t>
      </w:r>
    </w:p>
    <w:p>
      <w:pPr>
        <w:spacing w:after="0" w:line="118"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We evaluate litigation claims and legal proceedings to assess the likelihood of unfavorable outcomes and to estimate, if possible, the amount of potential losses. Based on these evaluations and estimates, when required by applicable accounting rules, we establish reserves and disclose the relevant litigation claims or legal proceedings, as appropriate. These evaluations and estimates are based on the information available to management at the time and involve a significant amount of judgment. Actual outcomes or losses may differ materially from current evaluations and estimates. The settlement or resolution of such claims or proceedings may have a material adverse effect on us. We use appropriate means to contest litigation threatened or filed against us, but the litigation environment poses a significant business risk.</w:t>
      </w:r>
    </w:p>
    <w:p>
      <w:pPr>
        <w:sectPr>
          <w:pgSz w:w="11900" w:h="16943" w:orient="portrait"/>
          <w:cols w:equalWidth="0" w:num="1">
            <w:col w:w="9019"/>
          </w:cols>
          <w:pgMar w:left="1440" w:top="136" w:right="1440" w:bottom="0" w:gutter="0" w:footer="0" w:header="0"/>
        </w:sectPr>
      </w:pPr>
    </w:p>
    <w:bookmarkStart w:id="53" w:name="page54"/>
    <w:bookmarkEnd w:id="5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Tariffs on key equipment or materials used in geothermal development could increase project costs, delay timelines, and impact our financial performance.</w:t>
      </w:r>
    </w:p>
    <w:p>
      <w:pPr>
        <w:spacing w:after="0" w:line="77" w:lineRule="exact"/>
        <w:rPr>
          <w:sz w:val="20"/>
          <w:szCs w:val="20"/>
          <w:color w:val="auto"/>
        </w:rPr>
      </w:pPr>
    </w:p>
    <w:p>
      <w:pPr>
        <w:ind w:left="1160" w:right="1379" w:firstLine="258"/>
        <w:spacing w:after="0" w:line="184" w:lineRule="exact"/>
        <w:rPr>
          <w:sz w:val="20"/>
          <w:szCs w:val="20"/>
          <w:color w:val="auto"/>
        </w:rPr>
      </w:pPr>
      <w:r>
        <w:rPr>
          <w:rFonts w:ascii="Times New Roman" w:cs="Times New Roman" w:eastAsia="Times New Roman" w:hAnsi="Times New Roman"/>
          <w:sz w:val="14"/>
          <w:szCs w:val="14"/>
          <w:color w:val="auto"/>
        </w:rPr>
        <w:t>While our current supplier mix and procurement strategy are intended to limit direct exposure to tariffs, we remain subject to tariff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cost and schedule impacts, and changes in trade policy could, in certain scenarios, materially affect our results. Our projects depend on timely,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procurement of specialized inputs,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60" w:right="1179"/>
        <w:spacing w:after="0" w:line="178" w:lineRule="exact"/>
        <w:rPr>
          <w:sz w:val="20"/>
          <w:szCs w:val="20"/>
          <w:color w:val="auto"/>
        </w:rPr>
      </w:pPr>
      <w:r>
        <w:rPr>
          <w:rFonts w:ascii="Times New Roman" w:cs="Times New Roman" w:eastAsia="Times New Roman" w:hAnsi="Times New Roman"/>
          <w:sz w:val="14"/>
          <w:szCs w:val="14"/>
          <w:color w:val="auto"/>
        </w:rPr>
        <w:t>including drilling equipment and tubulars, heat exchangers, transformers, and binary,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components. While our supply chain is intentionally concentrated in U.S.-based providers and manufacturers in key U.S. partner nations, and our drilling services and rigs are sourced predominantly from established domestic oilfield services providers, changes in trade policy, including the imposition of new tariffs, modification of existing tariffs, retaliatory measures, or import restrictions could raise costs, reduce supplier availability, or elongate lead times. Even where domestic alternatives exist, technical specifications, quality requirements, or long manufacturing cycles may limit substitution for standardized GeoBlocks.</w:t>
      </w:r>
    </w:p>
    <w:p>
      <w:pPr>
        <w:spacing w:after="0" w:line="87" w:lineRule="exact"/>
        <w:rPr>
          <w:sz w:val="20"/>
          <w:szCs w:val="20"/>
          <w:color w:val="auto"/>
        </w:rPr>
      </w:pPr>
    </w:p>
    <w:p>
      <w:pPr>
        <w:ind w:left="1160" w:right="1259" w:firstLine="258"/>
        <w:spacing w:after="0" w:line="178" w:lineRule="exact"/>
        <w:rPr>
          <w:sz w:val="20"/>
          <w:szCs w:val="20"/>
          <w:color w:val="auto"/>
        </w:rPr>
      </w:pPr>
      <w:r>
        <w:rPr>
          <w:rFonts w:ascii="Times New Roman" w:cs="Times New Roman" w:eastAsia="Times New Roman" w:hAnsi="Times New Roman"/>
          <w:sz w:val="14"/>
          <w:szCs w:val="14"/>
          <w:color w:val="auto"/>
        </w:rPr>
        <w:t>Residual tariff exposure exists for select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lead components and subcomponents, including certain ORC modules and auxiliaries,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condensers, transformers and other grid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electrical equipment, specialty alloys, heat exchangers, and electrical gear that may include imported content. If tariffs or similar trade barriers materially increase the cost or reduce the availability of these inputs, we could face budget overruns,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sequencing of GeoBlock deliveries within a GeoCluster, renegotiation of supply contracts, and schedule delays that impair deliverability under PPAs and reduce revenue visibility. Broader or higher tariffs affecting allied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country suppliers or critical subcomponents, or the removal of exemptions, could elevate our exposure above current levels.</w:t>
      </w:r>
    </w:p>
    <w:p>
      <w:pPr>
        <w:spacing w:after="0" w:line="87" w:lineRule="exact"/>
        <w:rPr>
          <w:sz w:val="20"/>
          <w:szCs w:val="20"/>
          <w:color w:val="auto"/>
        </w:rPr>
      </w:pPr>
    </w:p>
    <w:p>
      <w:pPr>
        <w:ind w:left="1160" w:right="1279" w:firstLine="258"/>
        <w:spacing w:after="0" w:line="183" w:lineRule="exact"/>
        <w:rPr>
          <w:sz w:val="20"/>
          <w:szCs w:val="20"/>
          <w:color w:val="auto"/>
        </w:rPr>
      </w:pPr>
      <w:r>
        <w:rPr>
          <w:rFonts w:ascii="Times New Roman" w:cs="Times New Roman" w:eastAsia="Times New Roman" w:hAnsi="Times New Roman"/>
          <w:sz w:val="14"/>
          <w:szCs w:val="14"/>
          <w:color w:val="auto"/>
        </w:rPr>
        <w:t>We mitigate tariff risk through diversified sourcing from allied jurisdictions,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procurement frameworks for ORC and balance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plant equipment, and a modular development approach that provides scheduling flexibility. Notwithstanding these measures, adverse changes in trade policy or market conditions could still negatively affect our operating results, cash flows, and overall financial performance.</w:t>
      </w:r>
    </w:p>
    <w:p>
      <w:pPr>
        <w:spacing w:after="0" w:line="114"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financial performance could be adversely affected by changes in the legal and regulatory environment affecting our operations.</w:t>
      </w:r>
    </w:p>
    <w:p>
      <w:pPr>
        <w:spacing w:after="0" w:line="77"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Our wellfields and power plants are subject to extensive federal, state, and local regulation. Changes in applicable laws, regulations, or their interpretation—covering areas such as interconnection, environmental compliance, or tax—could increase compliance costs, require additional capital expenditures, or curtail benefits on which our standardized deployments rely. We or our power purchasers may be unable to obtain required approvals, amendments, or renewals on a timely basis. Adverse legal or regulatory changes could reduce revenues at one or more facilities and negatively affect our business, financial condition, results of operations, and cash flows.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Lengthy and uncertain permitting processes could delay or prevent project development.</w:t>
      </w:r>
    </w:p>
    <w:p>
      <w:pPr>
        <w:spacing w:after="0" w:line="14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Developing geothermal projects requires approvals from federal, state, and local authorities, often with extensive environmental review and public consultation. Even with recent policy tailwinds—such as continued federal tax credits for geothermal and certain streamlining measures—permitting timelines remain uncertain and subject to change. For instance, in Nevada, there is no streamlined permitting regime for obtaining a single Underground Injection Control (“UIC”) permit for an entire geothermal project. Currently, we require UIC permits from the Nevada Division of Environmental Protection (“NDEP”) for each well used for underground injection, which has created an administrative burden. We have submitted applications for, but have not yet been able to obtain, a UIC permit in Nevada; however, NDEP has granted us a series of temporary 30-day permits for each well to allow underground injection and re-issued such temporary permits every 30 days. The inability to obtain UIC permits or temporary 30-day permits to allow for underground injection, and other delays and administrative burdens could increase costs, affect scheduling for GeoBlock delivery, and disrupt standardized deployment plans at GeoClusters.</w:t>
      </w:r>
    </w:p>
    <w:p>
      <w:pPr>
        <w:spacing w:after="0" w:line="280" w:lineRule="exact"/>
        <w:rPr>
          <w:sz w:val="20"/>
          <w:szCs w:val="20"/>
          <w:color w:val="auto"/>
        </w:rPr>
      </w:pPr>
    </w:p>
    <w:p>
      <w:pPr>
        <w:ind w:left="1160" w:right="1459" w:firstLine="258"/>
        <w:spacing w:after="0" w:line="265" w:lineRule="auto"/>
        <w:rPr>
          <w:sz w:val="20"/>
          <w:szCs w:val="20"/>
          <w:color w:val="auto"/>
        </w:rPr>
      </w:pPr>
      <w:r>
        <w:rPr>
          <w:rFonts w:ascii="Times New Roman" w:cs="Times New Roman" w:eastAsia="Times New Roman" w:hAnsi="Times New Roman"/>
          <w:sz w:val="14"/>
          <w:szCs w:val="14"/>
          <w:color w:val="auto"/>
        </w:rPr>
        <w:t>Regulatory changes, heightened environmental scrutiny, or local opposition could further complicate permitting, potentially resulting in costly modifications or litigation and, in some cases, project cancellations. In some cases, permitting delays may force us to abandon projects altogether, resulting in sunk costs and lost opportunities. Our ability to execute our business strategy and achieve our growth objectives depends on our capacity to navigate these complex regulatory environments and secure timely approvals for our projects.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could be negatively impacted by uncertain potential regulatory and other responses to climate change.</w:t>
      </w:r>
    </w:p>
    <w:p>
      <w:pPr>
        <w:spacing w:after="0" w:line="112" w:lineRule="exact"/>
        <w:rPr>
          <w:sz w:val="20"/>
          <w:szCs w:val="20"/>
          <w:color w:val="auto"/>
        </w:rPr>
      </w:pPr>
    </w:p>
    <w:p>
      <w:pPr>
        <w:ind w:left="1420"/>
        <w:spacing w:after="0" w:line="161" w:lineRule="exact"/>
        <w:rPr>
          <w:sz w:val="20"/>
          <w:szCs w:val="20"/>
          <w:color w:val="auto"/>
        </w:rPr>
      </w:pPr>
      <w:r>
        <w:rPr>
          <w:rFonts w:ascii="Times New Roman" w:cs="Times New Roman" w:eastAsia="Times New Roman" w:hAnsi="Times New Roman"/>
          <w:sz w:val="14"/>
          <w:szCs w:val="14"/>
          <w:color w:val="auto"/>
        </w:rPr>
        <w:t>While our EGS technology provides firm power within a reinjected, closed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loop brine system and uses</w:t>
      </w:r>
    </w:p>
    <w:p>
      <w:pPr>
        <w:spacing w:after="0" w:line="58" w:lineRule="exact"/>
        <w:rPr>
          <w:sz w:val="20"/>
          <w:szCs w:val="20"/>
          <w:color w:val="auto"/>
        </w:rPr>
      </w:pPr>
    </w:p>
    <w:p>
      <w:pPr>
        <w:ind w:left="1160"/>
        <w:spacing w:after="0" w:line="161" w:lineRule="exact"/>
        <w:rPr>
          <w:sz w:val="20"/>
          <w:szCs w:val="20"/>
          <w:color w:val="auto"/>
        </w:rPr>
      </w:pPr>
      <w:r>
        <w:rPr>
          <w:rFonts w:ascii="Times New Roman" w:cs="Times New Roman" w:eastAsia="Times New Roman" w:hAnsi="Times New Roman"/>
          <w:sz w:val="14"/>
          <w:szCs w:val="14"/>
          <w:color w:val="auto"/>
        </w:rPr>
        <w:t>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to minimize water use, evolving GHG and climate policies may impose new monitoring,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65" w:lineRule="auto"/>
        <w:rPr>
          <w:sz w:val="20"/>
          <w:szCs w:val="20"/>
          <w:color w:val="auto"/>
        </w:rPr>
      </w:pPr>
      <w:r>
        <w:rPr>
          <w:rFonts w:ascii="Times New Roman" w:cs="Times New Roman" w:eastAsia="Times New Roman" w:hAnsi="Times New Roman"/>
          <w:sz w:val="14"/>
          <w:szCs w:val="14"/>
          <w:color w:val="auto"/>
        </w:rPr>
        <w:t>or operational requirements. Federal and state regimes continue to change, and uncertainty regarding scope, timing, or implementation could complicate development timelines, increase costs, or shift competitive dynamics with alternative clean, firm resources such as nuclear (including SMRs) or gas with carbon capture. Such changes could affect our ability to renew existing PPAs, secure offtake for future GeoBlocks, or maintain margins across GeoClusters.</w:t>
      </w:r>
    </w:p>
    <w:p>
      <w:pPr>
        <w:spacing w:after="0" w:line="99"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U.S. Environmental Protection Agency (the “EPA”) has adopted rules that, among other things, establish construction and operating permit reviews for GHG emissions from certain large stationary sources, require the monitoring and reporting of GHG emissions from certain sources, and implement standards directing the reduction of methane from certain facilities in the oil and gas sector. Additionally, various states have adopted or are</w:t>
      </w:r>
    </w:p>
    <w:p>
      <w:pPr>
        <w:sectPr>
          <w:pgSz w:w="11900" w:h="16874" w:orient="portrait"/>
          <w:cols w:equalWidth="0" w:num="1">
            <w:col w:w="9019"/>
          </w:cols>
          <w:pgMar w:left="1440" w:top="271" w:right="1440" w:bottom="0" w:gutter="0" w:footer="0" w:header="0"/>
        </w:sectPr>
      </w:pPr>
    </w:p>
    <w:bookmarkStart w:id="54" w:name="page55"/>
    <w:bookmarkEnd w:id="54"/>
    <w:p>
      <w:pPr>
        <w:spacing w:after="0" w:line="50" w:lineRule="exact"/>
        <w:rPr>
          <w:sz w:val="20"/>
          <w:szCs w:val="20"/>
          <w:color w:val="auto"/>
        </w:rPr>
      </w:pPr>
    </w:p>
    <w:p>
      <w:pPr>
        <w:ind w:left="1160" w:right="1259"/>
        <w:spacing w:after="0" w:line="249" w:lineRule="auto"/>
        <w:rPr>
          <w:sz w:val="20"/>
          <w:szCs w:val="20"/>
          <w:color w:val="auto"/>
        </w:rPr>
      </w:pPr>
      <w:r>
        <w:rPr>
          <w:rFonts w:ascii="Times New Roman" w:cs="Times New Roman" w:eastAsia="Times New Roman" w:hAnsi="Times New Roman"/>
          <w:sz w:val="14"/>
          <w:szCs w:val="14"/>
          <w:color w:val="auto"/>
        </w:rPr>
        <w:t>considering adopting legislation and regulation focused on GHG cap-and-trade programs, carbon taxes, reporting and tracking programs and emissions limits. Uncertainty associated with these regulations, our inability to meet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99"/>
        <w:spacing w:after="0" w:line="272" w:lineRule="auto"/>
        <w:rPr>
          <w:sz w:val="20"/>
          <w:szCs w:val="20"/>
          <w:color w:val="auto"/>
        </w:rPr>
      </w:pPr>
      <w:r>
        <w:rPr>
          <w:rFonts w:ascii="Times New Roman" w:cs="Times New Roman" w:eastAsia="Times New Roman" w:hAnsi="Times New Roman"/>
          <w:sz w:val="14"/>
          <w:szCs w:val="14"/>
          <w:color w:val="auto"/>
        </w:rPr>
        <w:t>demands of these regulations or our failure to predict accurately the impact of our response to these regulations could adversely affect our business and prospects.</w:t>
      </w:r>
    </w:p>
    <w:p>
      <w:pPr>
        <w:spacing w:after="0" w:line="90" w:lineRule="exact"/>
        <w:rPr>
          <w:sz w:val="20"/>
          <w:szCs w:val="20"/>
          <w:color w:val="auto"/>
        </w:rPr>
      </w:pPr>
    </w:p>
    <w:p>
      <w:pPr>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reduction, elimination or inability to monetize government incentives could adversely affect our business, financial condition, future results, and cash flows.</w:t>
      </w:r>
    </w:p>
    <w:p>
      <w:pPr>
        <w:spacing w:after="0" w:line="77" w:lineRule="exact"/>
        <w:rPr>
          <w:sz w:val="20"/>
          <w:szCs w:val="20"/>
          <w:color w:val="auto"/>
        </w:rPr>
      </w:pPr>
    </w:p>
    <w:p>
      <w:pPr>
        <w:ind w:left="1160" w:right="1159" w:firstLine="258"/>
        <w:spacing w:after="0" w:line="178" w:lineRule="exact"/>
        <w:rPr>
          <w:sz w:val="20"/>
          <w:szCs w:val="20"/>
          <w:color w:val="auto"/>
        </w:rPr>
      </w:pPr>
      <w:r>
        <w:rPr>
          <w:rFonts w:ascii="Times New Roman" w:cs="Times New Roman" w:eastAsia="Times New Roman" w:hAnsi="Times New Roman"/>
          <w:sz w:val="14"/>
          <w:szCs w:val="14"/>
          <w:color w:val="auto"/>
        </w:rPr>
        <w:t>Our development program contemplates the availability of federal and state incentives, including tax credits applicable to geothermal and supportive policies such as NEPA categorical exclusions for certain geothermal confirmation activities. If existing incentives are reduced, phased out, or made more restrictive—including through legislative changes like OBBB accelerating phase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outs or imposing nationality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linked eligibility constraints—project economics for current and future GeoBlocks could deteriorate. Constraints on transferability or pricing of ITCs/ PTCs, changes to renewable portfolio standards, or shifts in treatment of domestic content and energy community adders could reduce returns, delay construction schedules, or limit access to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capital.</w:t>
      </w:r>
    </w:p>
    <w:p>
      <w:pPr>
        <w:spacing w:after="0" w:line="92"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Similarly, any such changes that affect the geothermal energy industry in a manner that is different from other sources of renewable energy, such as wind or solar, may put us at a competitive disadvantage compared to businesses engaged in the development, construction and operation of renewable power projects using such other resources. In addition, although we may have the legal ability to monetize ITCs and PTCs, our ability to do so is subject to market prices and demand, which may be lower than we anticipate. Any of the foregoing outcomes could have a material adverse effect on our business, financial condition, future results, and cash flows.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California energy import rule changes could compromise our ability to meet existing contract energy delivery.</w:t>
      </w:r>
    </w:p>
    <w:p>
      <w:pPr>
        <w:spacing w:after="0" w:line="144" w:lineRule="exact"/>
        <w:rPr>
          <w:sz w:val="20"/>
          <w:szCs w:val="20"/>
          <w:color w:val="auto"/>
        </w:rPr>
      </w:pPr>
    </w:p>
    <w:p>
      <w:pPr>
        <w:ind w:left="1160" w:right="1199" w:firstLine="258"/>
        <w:spacing w:after="0" w:line="173" w:lineRule="exact"/>
        <w:rPr>
          <w:sz w:val="20"/>
          <w:szCs w:val="20"/>
          <w:color w:val="auto"/>
        </w:rPr>
      </w:pPr>
      <w:r>
        <w:rPr>
          <w:rFonts w:ascii="Times New Roman" w:cs="Times New Roman" w:eastAsia="Times New Roman" w:hAnsi="Times New Roman"/>
          <w:sz w:val="14"/>
          <w:szCs w:val="14"/>
          <w:color w:val="auto"/>
        </w:rPr>
        <w:t>A significant majority of our expected revenues are derived from deliveries to California counterparties under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binding PPAs, including with an investor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utility and multiple community choice aggregators. While these agreements generally contemplate compliance with California RPS requirements and CAISO market protocols, modifications to California import rules (such as changes to transmission scheduling and Available Import Capability), market participation and tagging requirements, greenhouse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gas accounting for imports, or RPS/ Portfolio Content Category 1 eligibility could restrict deliverable volumes, increase compliance costs, or impair the marketability of associated RECs. Certain agreements include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and import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capacity provisions that allocate some risks (for example, where a buyer’s failure to secure import capability does not constitute a seller default), but such provisions may not fully offset the commercial impacts of adverse rule changes. If we are unable to deliver contracted energy due to such regulatory developments, we could incur contractual penalties, experience curtailments or forced rescheduling, need to renegotiate terms, face strained counterparty relationships, or encounter challenges securing future offtake, each of which could adversely affect our revenues and growth plans.</w:t>
      </w:r>
    </w:p>
    <w:p>
      <w:pPr>
        <w:spacing w:after="0" w:line="118"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by FERC and state utility regulators, and changes in those regimes—or our failure to comply—could adversely affect our operations, offtake arrangements and revenues.</w:t>
      </w:r>
    </w:p>
    <w:p>
      <w:pPr>
        <w:spacing w:after="0" w:line="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Our power marketing and transmission-related activities are, or will be, subject to the jurisdiction of the Federal Energy Regulatory Commission (“FERC”), including with respect to market-based rate authority, affiliate restrictions, reporting, and compliance obligations. We also may be subject to state utility commission oversight in connection with interconnection, retail/wholesale market participation, certificate or licensing requirements, and other state-level rules that affect scheduling, deliverability and cost recovery. These federal and state regulatory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spacing w:after="0" w:line="261" w:lineRule="auto"/>
        <w:rPr>
          <w:sz w:val="20"/>
          <w:szCs w:val="20"/>
          <w:color w:val="auto"/>
        </w:rPr>
      </w:pPr>
      <w:r>
        <w:rPr>
          <w:rFonts w:ascii="Times New Roman" w:cs="Times New Roman" w:eastAsia="Times New Roman" w:hAnsi="Times New Roman"/>
          <w:sz w:val="14"/>
          <w:szCs w:val="14"/>
          <w:color w:val="auto"/>
        </w:rPr>
        <w:t>frameworks are complex and evolve over time. Any revocation, limitation or delay in obtaining or maintaining applicable authorities or approvals, or any non-compliance—whether by us or relevant counterparties—could restrict our ability to sell energy or capacity, affect the terms on which we transact, require changes to our contractual arrangements, or result in penalties and increased compliance costs. In addition, changes to FERC rules, regional market designs, transmission tariffs, or state commission policies could affect the value, deliverability, or scheduling of our projects, the marketability of RECs associated with our output, or our ability to meet obligations under our PPAs. Any of the foregoing could have a material adverse effect on our business, financial condition, results of operations and cash flows.</w:t>
      </w:r>
    </w:p>
    <w:p>
      <w:pPr>
        <w:spacing w:after="0" w:line="99"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by NERC standards, and non-compliance or changes in these standards could materially and adversely affect our business and operations.</w:t>
      </w:r>
    </w:p>
    <w:p>
      <w:pPr>
        <w:spacing w:after="0" w:line="77"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The North American Electric Reliability Corporation (“NERC”), under the direction of the FERC, has implemented mandatory NERC Operations and Planning and Critical Infrastructure Protection standards to ensure the reliability of the North American Bulk Electric System, which encompasses electric transmission and generation systems to prevent major system blackouts. NERC Critical Infrastructure Protection standards establish cybersecurity and physical security protections for critical systems and facilities. We have been, and will continue to be, periodically audited by NERC for compliance with both Operations and Planning and Critical Infrastructure Protection standards and are subject to penalties for non-compliance with applicable NERC standards. Failure to comply with these standards could result in penalties or increased costs to bring such facilities into compliance, which could materially adversely impact our business, results of operations, and cash flows. Additionally, adverse audit findings and/or penalties for non-compliance could pose reputational risks to us that could adversely affect our business.</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U.S. federal and state income tax law changes could adversely affect us.</w:t>
      </w:r>
    </w:p>
    <w:p>
      <w:pPr>
        <w:spacing w:after="0" w:line="144" w:lineRule="exact"/>
        <w:rPr>
          <w:sz w:val="20"/>
          <w:szCs w:val="20"/>
          <w:color w:val="auto"/>
        </w:rPr>
      </w:pPr>
    </w:p>
    <w:p>
      <w:pPr>
        <w:ind w:left="1160" w:right="1159" w:firstLine="258"/>
        <w:spacing w:after="0" w:line="176" w:lineRule="exact"/>
        <w:rPr>
          <w:sz w:val="20"/>
          <w:szCs w:val="20"/>
          <w:color w:val="auto"/>
        </w:rPr>
      </w:pPr>
      <w:r>
        <w:rPr>
          <w:rFonts w:ascii="Times New Roman" w:cs="Times New Roman" w:eastAsia="Times New Roman" w:hAnsi="Times New Roman"/>
          <w:sz w:val="14"/>
          <w:szCs w:val="14"/>
          <w:color w:val="auto"/>
        </w:rPr>
        <w:t>Our financial performance may be affected by tax law changes that alter credit monetization, depreciation regimes, loss utilization, or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border tax rules that intersect with our supply chain. Uncertainty around future statutory changes or guidance can complicate capital formation for standardized GeoBlocks, reduce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tax returns, and affect the timing and structure of our project financings.</w:t>
      </w:r>
    </w:p>
    <w:p>
      <w:pPr>
        <w:spacing w:after="0" w:line="112" w:lineRule="exact"/>
        <w:rPr>
          <w:sz w:val="20"/>
          <w:szCs w:val="20"/>
          <w:color w:val="auto"/>
        </w:rPr>
      </w:pPr>
    </w:p>
    <w:p>
      <w:pPr>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cost of compliance with environmental laws and our ability to obtain and maintain environmental permits and governmental approvals required for operations may result in liabilities, costs, and delays that could materially and adversely affect our business.</w:t>
      </w:r>
    </w:p>
    <w:p>
      <w:pPr>
        <w:spacing w:after="0" w:line="91" w:lineRule="exact"/>
        <w:rPr>
          <w:sz w:val="20"/>
          <w:szCs w:val="20"/>
          <w:color w:val="auto"/>
        </w:rPr>
      </w:pPr>
    </w:p>
    <w:p>
      <w:pPr>
        <w:ind w:left="1160" w:right="1179" w:firstLine="258"/>
        <w:spacing w:after="0" w:line="178" w:lineRule="exact"/>
        <w:rPr>
          <w:sz w:val="20"/>
          <w:szCs w:val="20"/>
          <w:color w:val="auto"/>
        </w:rPr>
      </w:pPr>
      <w:r>
        <w:rPr>
          <w:rFonts w:ascii="Times New Roman" w:cs="Times New Roman" w:eastAsia="Times New Roman" w:hAnsi="Times New Roman"/>
          <w:sz w:val="14"/>
          <w:szCs w:val="14"/>
          <w:color w:val="auto"/>
        </w:rPr>
        <w:t>Our operations are subject to extensive environmental laws, ordinances and regulations, which may cause us to incur significant costs and liabilities. These laws, ordinances and regulations are subject to change and such change could result in increased compliance costs, the need for additional capital expenditures, or otherwise adversely affect us. Our power plants are required to comply with numerous federal, state, and local laws and regulatory environmental standards and must obtain, maintain, and periodically renew numerous permits and approvals, some with conditions tied to emissions, discharges, or operational restrictions. Heightened scrutiny,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challenges,</w:t>
      </w:r>
    </w:p>
    <w:p>
      <w:pPr>
        <w:sectPr>
          <w:pgSz w:w="11900" w:h="16889" w:orient="portrait"/>
          <w:cols w:equalWidth="0" w:num="1">
            <w:col w:w="9019"/>
          </w:cols>
          <w:pgMar w:left="1440" w:top="94" w:right="1440" w:bottom="0" w:gutter="0" w:footer="0" w:header="0"/>
        </w:sectPr>
      </w:pPr>
    </w:p>
    <w:bookmarkStart w:id="55" w:name="page56"/>
    <w:bookmarkEnd w:id="55"/>
    <w:p>
      <w:pPr>
        <w:ind w:left="1160" w:right="1219"/>
        <w:spacing w:after="0" w:line="258" w:lineRule="auto"/>
        <w:rPr>
          <w:sz w:val="20"/>
          <w:szCs w:val="20"/>
          <w:color w:val="auto"/>
        </w:rPr>
      </w:pPr>
      <w:r>
        <w:rPr>
          <w:rFonts w:ascii="Times New Roman" w:cs="Times New Roman" w:eastAsia="Times New Roman" w:hAnsi="Times New Roman"/>
          <w:sz w:val="14"/>
          <w:szCs w:val="14"/>
          <w:color w:val="auto"/>
        </w:rPr>
        <w:t>or evolving standards could necessitate costly modifications or cause delays that disrupt GeoBlock sequencing within a GeoCluster. We may not be able to maintain, obtain or renew all environmental permits and governmental approvals required for the continued operation or further development and construction of the power plants, including rights-of-way and other federal approvals for our projects on federal lands. We have not yet obtained certain permits and government approvals required for the completion and successful operation of power plants under development, construction or enhancement. Our failure to maintain, obtain or renew required permits or governmental approvals, including the permits and approvals necessary for operating power plants under development, construction or enhancement, could cause our operations to be limited or suspended resulting in fines under the PPA. We may also be subject to litigation seeking to rescind or delay our receipt of environmental permits and governmental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-959485</wp:posOffset>
            </wp:positionV>
            <wp:extent cx="716026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58"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Failure to secure or maintain permits—or to comply with permit conditions—could prevent or delay project development, or trigger enforcement, fines, or orders limiting operations, any of which could impact PPA performance and cash flows. In addition, some of the environmental permits and governmental approvals that have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been issued to the power plants are granted for limited periods and contain certain conditions and restrictions, including restrictions or limits on emissions and discharges of pollutants and contaminants. If we fail to obtain necessary permit renewals, or satisfy permit conditions, comply with permit restrictions, or comply with any statutory or regulatory environmental standards, we could become subject to regulatory enforcement action, our permits could be revoked and the operation of the power plants could be adversely affected. We could also be subject to fines, penalties or additional costs or other sanctions, including the imposition of investigatory or remedial obligations or the issuance of orders limiting or prohibiting our operations.</w:t>
      </w:r>
    </w:p>
    <w:p>
      <w:pPr>
        <w:spacing w:after="0" w:line="10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operations are also subject to numerous federal and state regulatory standards related to the generation, handling, transportation, use, storage, treatment and disposal of hazardous substances. Our operations involve the storage and use of hazardous substances, including but not limited to, drilling fluid additives, fuels, lubricants, and chemicals used in well construction, reservoir management, and plant operations. If any of the hazardous substances we use in the course of operations are found to have been released into the environment in violation of, or noncompliance with, applicable environmental laws, we could become liable for the investigation and remediation of those hazardous substances, regardless of their source and time of release. For example, equipment failure or extreme weather could result in spills or unauthorized discharges of hazardous substances to soil, surface water, or groundwater. Failure to comply with environmental laws, including those governing hazardous substances, could subject us to civil or criminal liability, the imposition of liens or fines, interruption of drilling or power production, delay in project schedules, costly design or operational modifications, or cessation of operations. Furthermore, under certain applicable environmental laws, we could be held liable for the cleanup of releases of hazardous substances at any other locations where we have arranged for the disposal of those substances, even if we did not cause the release at that location or if the release complied with applicable laws at the time it occurred. Liability pursuant to these laws is often strict, joint and several. The cost of remedial action in connection with any spills or releases of hazardous substances could be significant and may expose us to material liability.</w:t>
      </w:r>
    </w:p>
    <w:p>
      <w:pPr>
        <w:spacing w:after="0" w:line="105" w:lineRule="exact"/>
        <w:rPr>
          <w:sz w:val="20"/>
          <w:szCs w:val="20"/>
          <w:color w:val="auto"/>
        </w:rPr>
      </w:pPr>
    </w:p>
    <w:p>
      <w:pPr>
        <w:ind w:left="1160" w:right="15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Environmental or archeological issues (such as endangered species) may be discovered or identified in the construction our projects, which result in delays or inability to proceed.</w:t>
      </w:r>
    </w:p>
    <w:p>
      <w:pPr>
        <w:spacing w:after="0" w:line="77"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Endangered Species Act (“ESA”) and Migratory Bird Treaty Act (“MBTA”) govern the land on our leases. In addition, further restrictions may be imposed in the future, which could have an adverse impact on our ability to expand some of our existing operations or limit our ability to develop new infrastructure on our leased land. The ESA and comparable state laws restrict activities that may result in negative impacts to endangered or threatened species or their habitats. Similar protections are offered to migratory birds under the MBTA and comparable state laws. To the degree that species listed or protected under the ESA, MBTA or similar state laws are identified in the areas where we operate, our ability to conduct or expand operations and construct facilities could be limited, and we and could be forced to incur additional material costs that may have a material effect on our business. Additionally, discovered cultural resources, particularly tribal cultural resources, could have an impact on our ability to develop on our leased land.</w:t>
      </w:r>
    </w:p>
    <w:p>
      <w:pPr>
        <w:spacing w:after="0" w:line="99" w:lineRule="exact"/>
        <w:rPr>
          <w:sz w:val="20"/>
          <w:szCs w:val="20"/>
          <w:color w:val="auto"/>
        </w:rPr>
      </w:pP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Site decommissioning, well plugging, and financial assurance obligations could increase costs, constrain liquidity, and expose us to liability</w:t>
      </w:r>
    </w:p>
    <w:p>
      <w:pPr>
        <w:spacing w:after="0" w:line="7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Our operations, including our operations on federal lands and on private lands that we do not own, may be subject to end-of-life obligations to plug and decommission wells, dismantle facilities, and/or restore sites, and while we accrue asset retirement obligations, actual costs may materially exceed estimates due to inflation, scope changes, site conditions, or evolving technical and regulatory standards. In addition, government agencies and other lessors may tighten restriction criteria or increase bonding requirements associated with decommissioning activities.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reliance on U.S. government land leases exposes us to regulatory and operational risks.</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A substantial portion of our geothermal projects are located on land leased from the U.S. government, particularly in Utah and Nevada. These leases are subject to federal regulations, administrative changes, and evolving political priorities, which may impact our ability to maintain, renew, or expand our leasehold interests. The terms and conditions of government leases can be modified at any time, and there is a risk that future lease renewals may be subject to more stringent requirements, higher costs, or even denial. Additionally, the government may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519"/>
        <w:spacing w:after="0" w:line="292" w:lineRule="auto"/>
        <w:rPr>
          <w:sz w:val="20"/>
          <w:szCs w:val="20"/>
          <w:color w:val="auto"/>
        </w:rPr>
      </w:pPr>
      <w:r>
        <w:rPr>
          <w:rFonts w:ascii="Times New Roman" w:cs="Times New Roman" w:eastAsia="Times New Roman" w:hAnsi="Times New Roman"/>
          <w:sz w:val="14"/>
          <w:szCs w:val="14"/>
          <w:color w:val="auto"/>
        </w:rPr>
        <w:t>impose new environmental, safety, or land use restrictions that could limit our operational flexibility or require costly compliance measures.</w:t>
      </w:r>
    </w:p>
    <w:p>
      <w:pPr>
        <w:sectPr>
          <w:pgSz w:w="11900" w:h="16838" w:orient="portrait"/>
          <w:cols w:equalWidth="0" w:num="1">
            <w:col w:w="9019"/>
          </w:cols>
          <w:pgMar w:left="1440" w:top="94" w:right="1440" w:bottom="0" w:gutter="0" w:footer="0" w:header="0"/>
        </w:sectPr>
      </w:pPr>
    </w:p>
    <w:bookmarkStart w:id="56" w:name="page57"/>
    <w:bookmarkEnd w:id="56"/>
    <w:p>
      <w:pPr>
        <w:spacing w:after="0" w:line="7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Any adverse changes in lease terms, delays in renewals, or increased regulatory scrutiny could disrupt our operations, require us to relocate projects, or result in the loss of valuable assets. The process of securing and maintaining government leases is complex and time-consuming, often involving multiple agencies and extensive public consultation. Heightened environmental scrutiny or shifts in land use policy could further complicate this process, potentially leading to project delays, increased costs, or the need to abandon certain sites altogether. Our growth prospects and financial performance are closely tied to our ability to navigate these regulatory challenges and maintain favorable lease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-777875</wp:posOffset>
            </wp:positionV>
            <wp:extent cx="716026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to environmental regulations governing well drilling, hydraulic fracturing, water sourcing and disposal, and subsurface injection could restrict operations or increase costs.</w:t>
      </w:r>
    </w:p>
    <w:p>
      <w:pPr>
        <w:spacing w:after="0" w:line="77" w:lineRule="exact"/>
        <w:rPr>
          <w:sz w:val="20"/>
          <w:szCs w:val="20"/>
          <w:color w:val="auto"/>
        </w:rPr>
      </w:pPr>
    </w:p>
    <w:p>
      <w:pPr>
        <w:ind w:left="1160" w:right="1219" w:firstLine="258"/>
        <w:spacing w:after="0" w:line="174" w:lineRule="exact"/>
        <w:rPr>
          <w:sz w:val="20"/>
          <w:szCs w:val="20"/>
          <w:color w:val="auto"/>
        </w:rPr>
      </w:pPr>
      <w:r>
        <w:rPr>
          <w:rFonts w:ascii="Times New Roman" w:cs="Times New Roman" w:eastAsia="Times New Roman" w:hAnsi="Times New Roman"/>
          <w:sz w:val="14"/>
          <w:szCs w:val="14"/>
          <w:color w:val="auto"/>
        </w:rPr>
        <w:t>Federal and state agencies could revise permitting standards (including under NEPA/CEQA, the Clean Water Act, and Safe Drinking Water Act underground injection control programs), impose additional baseline or ongoing monitoring, limit produced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water reinjection volumes or chemistry, tighten water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rights or groundwater allocations, or require alternative disposal pathways. Such changes could delay or prevent drilling, require redesign of engineered reservoirs or operations, increase operating and compliance costs, or constrain output. Although our design reinjects geothermal brine and uses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to minimize water use, evolving standards for well construction and integrity, stimulation fluids, surface discharges, and waste handling could materially affect schedules, capital needs, and PPA performance. For example, our inability to obtain a UIC in Nevada for reinjection wells could delay or prevent operations, force costlier disposal options, or require material project redesign.</w:t>
      </w:r>
    </w:p>
    <w:p>
      <w:pPr>
        <w:spacing w:after="0" w:line="11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In particular, reservoir stimulation techniques, including certain hydraulic fracturing practices, are used in parts of the geothermal industry to enhance permeability and improve the productivity of geothermal reservoirs. These activities can involve the injection of water and other additives under pressure into targeted subsurface formations to increase fracture connectivity and facilitate heat extraction. We may use such stimulation techniques in connection with our EGS operations. Regulation of geothermal well construction, reservoir stimulation, and related activities typically occurs at the state level. However, federal agencies, including the EPA, have asserted or may assert authority under federal environmental laws, including the Safe Drinking Water Act, over certain underground injection activities. For example, the EPA has issued guidance and regulations governing underground injection control programs and has promulgated rules that restrict or prohibit the discharge of certain wastewaters to publicly owned treatment works, which can affect how fluids associated with drilling and stimulation are managed and disposed.</w:t>
      </w:r>
    </w:p>
    <w:p>
      <w:pPr>
        <w:spacing w:after="0" w:line="275"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Congress has, from time to time, considered and may in the future consider, legislation that would expand federal oversight of underground injection and stimulation practices, including requirements for permitting and disclosure of chemicals used in stimulation fluids. We cannot predict the timing, scope or outcome of any such legislative efforts. At the state level, several jurisdictions have adopted or are considering more stringent permitting, disclosure, induced-seismicity monitoring, and well construction requirements, applicable to reservoir stimulation activities. Local governments may also seek to regulate the time, place, and manner of drilling and related field activities within their jurisdictions, and some jurisdictions have pursued or may pursue restrictions or bans on certain stimulation practices. If new or more stringent federal, state, or local requirements relating to geothermal stimulation, underground injection, water management, seismic monitoring, or well construction are adopted in areas where we operate, we could incur significant additional costs to achieve compliance, experience delays or curtailment in EGS, development and production activities, or face constraints on wastewater handling and disposal options.</w:t>
      </w:r>
    </w:p>
    <w:p>
      <w:pPr>
        <w:spacing w:after="0" w:line="278" w:lineRule="exact"/>
        <w:rPr>
          <w:sz w:val="20"/>
          <w:szCs w:val="20"/>
          <w:color w:val="auto"/>
        </w:rPr>
      </w:pPr>
    </w:p>
    <w:p>
      <w:pPr>
        <w:ind w:left="1160" w:right="1999"/>
        <w:spacing w:after="0" w:line="449" w:lineRule="auto"/>
        <w:rPr>
          <w:sz w:val="20"/>
          <w:szCs w:val="20"/>
          <w:color w:val="auto"/>
        </w:rPr>
      </w:pPr>
      <w:r>
        <w:rPr>
          <w:rFonts w:ascii="Times New Roman" w:cs="Times New Roman" w:eastAsia="Times New Roman" w:hAnsi="Times New Roman"/>
          <w:sz w:val="14"/>
          <w:szCs w:val="14"/>
          <w:b w:val="1"/>
          <w:bCs w:val="1"/>
          <w:color w:val="auto"/>
        </w:rPr>
        <w:t xml:space="preserve">Risks Related to Information Technology, Cybersecurity, Data Privacy and Intellectual Property </w:t>
      </w:r>
      <w:r>
        <w:rPr>
          <w:rFonts w:ascii="Times New Roman" w:cs="Times New Roman" w:eastAsia="Times New Roman" w:hAnsi="Times New Roman"/>
          <w:sz w:val="14"/>
          <w:szCs w:val="14"/>
          <w:b w:val="1"/>
          <w:bCs w:val="1"/>
          <w:i w:val="1"/>
          <w:iCs w:val="1"/>
          <w:color w:val="auto"/>
        </w:rPr>
        <w:t>Our intellectual property rights may not be adequate to protect our business.</w:t>
      </w:r>
    </w:p>
    <w:p>
      <w:pPr>
        <w:spacing w:after="0" w:line="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existing intellectual property rights may not be adequate to protect our business. We occasionally file patent applications which cover our systems (mainly geothermal wells and power plants for electricity production). However, the patent application process is expensive, time-consuming, uncertain and complex and we may not be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58" w:lineRule="auto"/>
        <w:rPr>
          <w:sz w:val="20"/>
          <w:szCs w:val="20"/>
          <w:color w:val="auto"/>
        </w:rPr>
      </w:pPr>
      <w:r>
        <w:rPr>
          <w:rFonts w:ascii="Times New Roman" w:cs="Times New Roman" w:eastAsia="Times New Roman" w:hAnsi="Times New Roman"/>
          <w:sz w:val="14"/>
          <w:szCs w:val="14"/>
          <w:color w:val="auto"/>
        </w:rPr>
        <w:t>able to prepare, file, prosecute, maintain and enforce all necessary or desirable patents or patent applications at a reasonable cost or in a timely manner. Patents may not be issued on the basis of our patent applications, and issued patents may be invalidated. Additionally, the scope of patent protection can be reinterpreted after issuance. Even if our patent applications do issue as patents, they may not issue in a form that is sufficiently broad to protect our technology, prevent competitors or other third parties from competing with us or otherwise provide us with a competitive advantage. In addition, any patents issued to us or for which we have license rights may be challenged, narrowed, invalidated or circumvented. Third parties may initiate opposition, interference, re-examination, post-grant review, inter partes review, nullification or derivation actions, or similar proceedings challenging the inventorship, validity, enforceability or the scope of our patents. An adverse determination in any such proceeding or litigation could reduce the scope of, or invalidate our patent rights, allow third parties to commercialize our technology and compete directly with us, without payment to us, or result in our inability to commercialize our technology without infringing third-party patent rights. Such proceedings also may result in substantial cost and require significant time from our management, even if the eventual outcome is favorable to us. Our competitors or other third parties may also be able to circumvent our patents by developing similar or alternative technologies in a non-infringing manner. Consequently, we cannot guarantee that our technology will be protectable or remain protected by valid and enforceable patents.</w:t>
      </w:r>
    </w:p>
    <w:p>
      <w:pPr>
        <w:spacing w:after="0" w:line="10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In order to safeguard our unpatented proprietary know-how, trade secrets and technology, we rely on a combination of trade secret protection and non-disclosure provisions in agreements with employees and third parties having access to confidential or proprietary information. These measures may not adequately protect us from disclosure, use, reverse engineering, infringement, misappropriation or other violation of our proprietary information and other intellectual property rights by third parties. Furthermore, non-disclosure provisions can be difficult to enforce and, even if successfully enforced, may not be entirely effective.</w:t>
      </w:r>
    </w:p>
    <w:p>
      <w:pPr>
        <w:spacing w:after="0" w:line="101"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Even if we adequately protect our intellectual property rights, litigation may be necessary to enforce these rights, which could result in substantial costs to us and a substantial diversion of management attention.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w:t>
      </w:r>
    </w:p>
    <w:p>
      <w:pPr>
        <w:spacing w:after="0" w:line="99"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success and ability to compete also depends in part on our ability to operate without infringing, misappropriating or otherwise violating the intellectual or proprietary rights of third parties. While we have attempted to ensure that our technology and the operation of our business does not infringe other parties’ patents and</w:t>
      </w:r>
    </w:p>
    <w:p>
      <w:pPr>
        <w:sectPr>
          <w:pgSz w:w="11900" w:h="16910" w:orient="portrait"/>
          <w:cols w:equalWidth="0" w:num="1">
            <w:col w:w="9019"/>
          </w:cols>
          <w:pgMar w:left="1440" w:top="136" w:right="1440" w:bottom="0" w:gutter="0" w:footer="0" w:header="0"/>
        </w:sectPr>
      </w:pPr>
    </w:p>
    <w:bookmarkStart w:id="57" w:name="page58"/>
    <w:bookmarkEnd w:id="57"/>
    <w:p>
      <w:pPr>
        <w:ind w:left="1160" w:right="1239"/>
        <w:spacing w:after="0" w:line="259" w:lineRule="auto"/>
        <w:rPr>
          <w:sz w:val="20"/>
          <w:szCs w:val="20"/>
          <w:color w:val="auto"/>
        </w:rPr>
      </w:pPr>
      <w:r>
        <w:rPr>
          <w:rFonts w:ascii="Times New Roman" w:cs="Times New Roman" w:eastAsia="Times New Roman" w:hAnsi="Times New Roman"/>
          <w:sz w:val="14"/>
          <w:szCs w:val="14"/>
          <w:color w:val="auto"/>
        </w:rPr>
        <w:t>other intellectual property or proprietary rights, our competitors or other third parties may assert that certain aspects of our business or technology infringe upon, misappropriate or otherwise violate their intellectual property or proprietary rights. In addition, former employers of our current, former or future employees may assert claims that such employees have improperly disclosed to us the confidential or proprietary information of these former employers. Infringement, misappropriation or other intellectual property violation claims, regardless of merit or ultimate outcome, can be expensive, hard to predict and time-consuming and can divert management’s attention from our core business. An assertion of an intellectual property infringement, misappropriation or other violation claim against us may result in adverse judgments, settlements on unfavorable terms or cause us to pay significant money damages, lose significant revenues, be prohibited from using the relevant technology or other intellectual property, or incur significant license, royalty or technology development expenses. Future litigation may also involve non-practicing entities or other intellectual property owners who have no relevant product offerings or revenue and against whom our own intellectual property may therefore provide little or no deterrence or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-1300480</wp:posOffset>
            </wp:positionV>
            <wp:extent cx="716026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2" w:lineRule="exact"/>
        <w:rPr>
          <w:sz w:val="20"/>
          <w:szCs w:val="20"/>
          <w:color w:val="auto"/>
        </w:rPr>
      </w:pPr>
    </w:p>
    <w:p>
      <w:pPr>
        <w:ind w:left="1160" w:right="1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Third parties may allege that we are infringing, misappropriating, or otherwise violating their intellectual property rights, which could involve substantial costs and adversely impact our business.</w:t>
      </w:r>
    </w:p>
    <w:p>
      <w:pPr>
        <w:spacing w:after="0" w:line="7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Our success in part depends on our ability to develop, manufacture, market and sell our technologies without infringing, misappropriating or otherwise violating the intellectual property rights of third parties. Furthermore, we cannot guarantee that the operation of our business does not and will not infringe or violate the rights of third parties. For example, because some patent applications are maintained in secrecy for a period of time, there is a risk that we could develop a product or technology without knowledge of a pending patent application, which product or technology would infringe a third-party patent once that patent is issued.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We have in the past, and may in the future, be subject to claims by third parties alleging that we have infringed, misappropriated or otherwise violated their intellectual property rights. Any such claims, even those without merit, can be expensive and time-consuming to defend and may divert management’s attention and resources, and an adverse result in any proceeding could put our ability to produce, market and sell our technologies in jeopardy. The outcome of any litigation is inherently uncertain, and there can be no assurances that favorable final outcomes will be obtained in all cases. We may be required to spend significant resources to defend against such claims, pay significant money damages, cease using certain processes, technologies, trademarks or other intellectual property, cease making, offering and selling certain technologies, obtain a license (which may not be available on commercially reasonable terms or at all) or redesign all or a portion of our technologies or change our branding (which could be costly, time-consuming, or impossible). While no such claims have been material to date, there is no guarantee that future claims would not have a material effect on our business.</w:t>
      </w:r>
    </w:p>
    <w:p>
      <w:pPr>
        <w:spacing w:after="0" w:line="108"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defense costs and settlements for intellectual property infringement lawsuits may not be covered by insurance. Intellectual property infringement lawsuits can take years to resolve. If we are not successful in our defenses or are not successful in obtaining dismissals of any such lawsuit, legal fees or settlement costs could have an adverse effect on our operations and financial position. Even if resolved in our favor, the volume of intellectual-property-related claims and the mere specter of threatened litigation or other legal proceedings may cause us to incur significant expenses and could distract our personnel from day-to-day responsibilities. The direct and indirect costs of addressing these actual and threatened disputes may have an adverse effect on our operations, reputation, and financial performance.</w:t>
      </w:r>
    </w:p>
    <w:p>
      <w:pPr>
        <w:spacing w:after="0" w:line="103"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In addition, some of our agreements with third parties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95" w:lineRule="exact"/>
        <w:rPr>
          <w:sz w:val="20"/>
          <w:szCs w:val="20"/>
          <w:color w:val="auto"/>
        </w:rPr>
      </w:pPr>
    </w:p>
    <w:p>
      <w:pPr>
        <w:ind w:left="1160" w:right="12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cyber-incident, cyber security breach, severe natural event or physical attack on our operational networks and information technology systems could have a material adverse effect on our financial condition, results of operations, liquidity and cash flows.</w:t>
      </w:r>
    </w:p>
    <w:p>
      <w:pPr>
        <w:spacing w:after="0" w:line="9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rely on information technology systems that allow us to create, store, retain, transmit and otherwise process proprietary and sensitive or confidential information, including our business and financial information, and personal information regarding our employees and third parties. We also rely on our operational technology systems to operate our power plants and provide our services. In addition, we often rely on third-party vendors to host, maintain, modify and update our systems.</w:t>
      </w:r>
    </w:p>
    <w:p>
      <w:pPr>
        <w:spacing w:after="0" w:line="99"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Our and our third-party vendors’ technology systems can be damaged by malicious events such as cyber and physical attacks, computer viruses, ransomware, malicious and destructive code, phishing attacks, denial of service or information, as well as security breaches, natural disasters, fire, power loss, telecommunications failures, employee misconduct, human error, and third parties such as traditional computer hackers, persons involved with organized crime or foreign state or foreign state-supported actors. Furthermore, our disaster recovery planning may not be sufficient for all situations. Any failure, disruptions to or decrease in the functionality of our or our third-party vendors’ operational and information technology networks could impact our ability to maintain effective internal controls over financial reporting, cause harm to the environment, the public or our employees, and significantly disrupt and damage our assets, reputation and operations or those of third parties.</w:t>
      </w:r>
    </w:p>
    <w:p>
      <w:pPr>
        <w:spacing w:after="0" w:line="106"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We and our third-party vendors may in the future be subject to breaches and attempts to gain unauthorized access to our information technology systems or sensitive or confidential data, or to disrupt our operations. To date, none of these breaches or attempts has, individually or in the aggregate, resulted in a security incident with a material effect on our operations or our financial condition, results of operations, liquidity, or cash flows. Despite implementation of security and control measures, we and our third-party vendors have not always been able to, and there can be no assurance that we or our third-party vendors will be able to in the future, anticipate or prevent unauthorized access to our or our third-party vendors’ operational technology networks, information technology systems or data, or the disruption of our or our third-party vendors’ operations. The techniques used to obtain</w:t>
      </w:r>
    </w:p>
    <w:p>
      <w:pPr>
        <w:sectPr>
          <w:pgSz w:w="11900" w:h="16838" w:orient="portrait"/>
          <w:cols w:equalWidth="0" w:num="1">
            <w:col w:w="9019"/>
          </w:cols>
          <w:pgMar w:left="1440" w:top="104" w:right="1440" w:bottom="48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104" w:right="1440" w:bottom="480" w:gutter="0" w:footer="0" w:header="0"/>
          <w:type w:val="continuous"/>
        </w:sectPr>
      </w:pPr>
    </w:p>
    <w:bookmarkStart w:id="58" w:name="page59"/>
    <w:bookmarkEnd w:id="58"/>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unauthorized access to our and our third-party vendors’ operational technology networks, information technology systems or data are constantly evolving and have become increasingly complex and sophisticated. Furthermore, such techniques change frequently and are often not detected until after they have been launched against a target. Therefore, we may be unable to anticipate these techniques and may not become aware in a timely manner of such a security breach, which could exacerbate any damage we experience. Such events could cause interruptions in the operation of our business, damage our operational technology networks and information technology systems, subject us to significant expenses, remediation costs, litigation, disputes, claims by third parties and regulatory actions or investigations that could result in damages, material fines and penalties, and harm to our reputation, any of which could have a material adverse effect on our financial condition, results of operations, liquidity, and cash flows. We may maintain cyber liability insurance that covers certain damages caused by cyber incidents. However, there is no guarantee that adequate insurance will continue to be available at rates that we believe are reasonable or that the costs of responding to and recovering from a cyber incident will be covered by insurance or recoverable in rates.</w:t>
      </w:r>
    </w:p>
    <w:p>
      <w:pPr>
        <w:spacing w:after="0" w:line="106"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In addition, we are subject to various legislation, regulations, directives and guidelines from federal, state, local and foreign agencies, such as FERC, that are intended to strengthen cybersecurity measures required for information and operational technology and critical energy infrastructure and that apply to the collection, use, retention, protection, disclosure, transfer and other processing of personal information. In California, for example, the California Consumer Privacy Act (the “CCPA”) imposes obligations on businesses to be transparent with their data privacy practices and vests consumers with rights to access and delete the personal information held by businesses. These requirements are even more robust under the California Privacy Rights Act (the “CPRA”) which amends the CCPA to, among other things, extend consumer rights and business obligations to employees. These cybersecurity, data protection and privacy law regimes continue to evolve and may result in ever-increasing public scrutiny and escalating levels of capital expenditures, regulatory enforcement, sanctions and fines and increased costs for compliance. We have instituted security measures and safeguards to protect our operational systems and information technology assets, including certain safeguards required by FERC. Despite our implementation of security measures and safeguards, any failure to comply with FERC or any of these legal requirements could result in enforcement action against us, including fines, imprisonment of company officials and public censure, any of which could harm our reputation and have a material adverse effect on our financial condition, results of operations, liquidity, and cash flows.</w:t>
      </w:r>
    </w:p>
    <w:p>
      <w:pPr>
        <w:spacing w:after="0" w:line="278" w:lineRule="exact"/>
        <w:rPr>
          <w:sz w:val="20"/>
          <w:szCs w:val="20"/>
          <w:color w:val="auto"/>
        </w:rPr>
      </w:pPr>
    </w:p>
    <w:p>
      <w:pPr>
        <w:jc w:val="both"/>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use of artificial intelligence and machine learning technologies could adversely affect our products and services, harm our reputation, or cause us to incur liability resulting from harm to individuals or violation of laws and regulations or contracts to which we are a party.</w:t>
      </w:r>
    </w:p>
    <w:p>
      <w:pPr>
        <w:spacing w:after="0" w:line="9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use artificial intelligence, machine learning and automated decision-making technologies in several core parts of our business, including for subsurface sensing and monitoring, production forecasting, and wellfield design and optimization. For example, we deploy AI-enhanced fiber optic sensing in our wells to measure reservoir conditions in real time and to monitor flow rates, pressures and temperatures; we apply proprietary AI-based modeling, including errors in data underlying such AI models, advanced data analytics and computational science to analyze more than 500 terabytes of downhole and operational data collected to date; and we use these tools to predict future well output, inform well spacing and completion design, and optimize wellfield configuration and reservoir management over time. We are dedicating resources and efforts to continuously improve our use of such technologies. As with many technological innovations, there are significant risks and challenges involved in developing, maintaining and deploying these technologies and there can be no assurance that the usage of such technologies will always enhance our solutions or be beneficial to our business, including our efficiency or profitability.</w:t>
      </w:r>
    </w:p>
    <w:p>
      <w:pPr>
        <w:spacing w:after="0" w:line="280"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In particular, if the models underlying the artificial intelligence, machine learning and automated decision-making technologies that we develop or use are: (i) incorrectly designed or implemented; (ii) trained or reliant on incomplete, inadequate, inaccurate, biased or otherwise poor quality data, or on data to which we do not have sufficient rights or in relation to which we and/or the providers of such data have not implemented sufficient legal compliance measures (including with respect to the processing and protection of such data); (iii) used without sufficient oversight or governance to ensure their responsible and ethical use; and/or (iv) adversely impacted by unforeseen defects, technical challenges, cybersecurity threats or material performance issues, the performance of our products, services and business, as well as our reputation and the reputations of our customers and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63" w:lineRule="auto"/>
        <w:rPr>
          <w:sz w:val="20"/>
          <w:szCs w:val="20"/>
          <w:color w:val="auto"/>
        </w:rPr>
      </w:pPr>
      <w:r>
        <w:rPr>
          <w:rFonts w:ascii="Times New Roman" w:cs="Times New Roman" w:eastAsia="Times New Roman" w:hAnsi="Times New Roman"/>
          <w:sz w:val="14"/>
          <w:szCs w:val="14"/>
          <w:color w:val="auto"/>
        </w:rPr>
        <w:t>partners, could suffer or we could incur liability resulting from harm to individuals, civil claims or the violation of laws or contracts to which we are a party. For example, errors in our AI-enhanced fiber optic sensing, our proprietary AI-based modeling, including errors in data underlying such AI models, or our production forecasting could lead to inaccurate predictions of well output, suboptimal well spacing or completion designs, or misinformed reservoir management decisions, which could in turn reduce generation, increase costs, delay projects, or cause safety, environmental or contractual compliance issues.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Employees and Workforce</w:t>
      </w:r>
    </w:p>
    <w:p>
      <w:pPr>
        <w:spacing w:after="0" w:line="138"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91"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Our success depends, in significant part, on the continued services of our senior management team and on our ability to attract, motivate, develop, and retain a sufficient number of other highly skilled personnel, including engineering, science, manufacturing and quality assurance, regulatory affairs, finance, marketing and sales personnel.</w:t>
      </w:r>
    </w:p>
    <w:p>
      <w:pPr>
        <w:spacing w:after="0" w:line="97" w:lineRule="exact"/>
        <w:rPr>
          <w:sz w:val="20"/>
          <w:szCs w:val="20"/>
          <w:color w:val="auto"/>
        </w:rPr>
      </w:pPr>
    </w:p>
    <w:p>
      <w:pPr>
        <w:ind w:left="1160" w:right="1159" w:firstLine="258"/>
        <w:spacing w:after="0" w:line="264" w:lineRule="auto"/>
        <w:rPr>
          <w:sz w:val="20"/>
          <w:szCs w:val="20"/>
          <w:color w:val="auto"/>
        </w:rPr>
      </w:pPr>
      <w:r>
        <w:rPr>
          <w:rFonts w:ascii="Times New Roman" w:cs="Times New Roman" w:eastAsia="Times New Roman" w:hAnsi="Times New Roman"/>
          <w:sz w:val="14"/>
          <w:szCs w:val="14"/>
          <w:color w:val="auto"/>
        </w:rPr>
        <w:t>Our senior management team has extensive experience in the energy and manufacturing industries, and we believe that their depth of experience is instrumental to our continued success. The loss of any one or more members of our senior management team or other highly skilled personnel,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ectPr>
          <w:pgSz w:w="11900" w:h="16838" w:orient="portrait"/>
          <w:cols w:equalWidth="0" w:num="1">
            <w:col w:w="9019"/>
          </w:cols>
          <w:pgMar w:left="1440" w:top="94" w:right="1440" w:bottom="0" w:gutter="0" w:footer="0" w:header="0"/>
        </w:sect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Our business plan requires us to attract and retain qualified personnel including personnel with highly technical</w:t>
      </w:r>
    </w:p>
    <w:p>
      <w:pPr>
        <w:sectPr>
          <w:pgSz w:w="11900" w:h="16838" w:orient="portrait"/>
          <w:cols w:equalWidth="0" w:num="1">
            <w:col w:w="9019"/>
          </w:cols>
          <w:pgMar w:left="1440" w:top="94" w:right="1440" w:bottom="0" w:gutter="0" w:footer="0" w:header="0"/>
          <w:type w:val="continuous"/>
        </w:sectPr>
      </w:pPr>
    </w:p>
    <w:bookmarkStart w:id="59" w:name="page60"/>
    <w:bookmarkEnd w:id="59"/>
    <w:p>
      <w:pPr>
        <w:ind w:left="1160" w:right="16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expertise. Our failure to successfully recruit and retain experienced and qualified personnel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-207010</wp:posOffset>
            </wp:positionV>
            <wp:extent cx="716026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8"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Our future success depends in part on our ability to contract with, hire, integrate, and retain highly competent geothermal and drilling focused engineers and scientists, and other qualified personnel.</w:t>
      </w:r>
    </w:p>
    <w:p>
      <w:pPr>
        <w:spacing w:after="0" w:line="8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could suffer. If we are unable to recruit and retain highly skilled personnel, especially personnel with sufficient technical expertise to develop our wellfields, horizontal drilling operations and power plants, we may experience delays, increased costs, and reputational harm. A shortage in the labor pool of skilled workers in the U.S.,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For example, the IRA imposed certain prevailing wage and apprenticeship requirements, and the OBBB retained such requirements, related to tax credit availability which may impact our labor costs going forward. Any increase in our operating costs could materially and adversely affect our business, financial condition, operating results, liquidity and prospects.</w:t>
      </w:r>
    </w:p>
    <w:p>
      <w:pPr>
        <w:spacing w:after="0" w:line="10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Some of the work performed by our employees may be subject to the IRA’s prevailing wage and apprenticeship requirements. Internalizing our workforce may result in increased costs due to increases in prevailing wages or hiring additional workers as apprentices. We may also face increased recordkeeping and administrative costs associated with demonstrating compliance with prevailing wage and apprenticeship requirements. The U.S. Treasury has issued only limited guidance on the interpretation and implementation of the IRA and OBBB and additional guidance may be forthcoming. If and when such guidance is issued, it may impose additional requirements and/or limitations. The impact of these requirements, the availability or nature of any future guidance, and the potential for any other legislation changes, is not fully known and the tax law is subject to change and to regulatory guidance which may increase the cost of compliance. There is also a risk of non-compliance with the prevailing wage and apprenticeship requirements which would result in us having to make cure payments in the form of penalties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459"/>
        <w:spacing w:after="0" w:line="292" w:lineRule="auto"/>
        <w:rPr>
          <w:sz w:val="20"/>
          <w:szCs w:val="20"/>
          <w:color w:val="auto"/>
        </w:rPr>
      </w:pPr>
      <w:r>
        <w:rPr>
          <w:rFonts w:ascii="Times New Roman" w:cs="Times New Roman" w:eastAsia="Times New Roman" w:hAnsi="Times New Roman"/>
          <w:sz w:val="14"/>
          <w:szCs w:val="14"/>
          <w:color w:val="auto"/>
        </w:rPr>
        <w:t>interest in order to maintain our tax credits under the IRA and OBBB or the loss of the tax credit if making cure payments is not possible.</w:t>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Labor-related matters, including labor disputes, may adversely affect our operations.</w:t>
      </w:r>
    </w:p>
    <w:p>
      <w:pPr>
        <w:spacing w:after="0" w:line="14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None of our employees are currently represented by a union. If our employees decide to form or affiliate with a union, we cannot predict the effects such future organizational activities would have on our business and operations. If we were to become subject to work stoppages or other labor disputes, we could experience disruption in our operations, including delays in manufacturing and operations, and increases in our labor costs could harm our business, results of operations, and financial condition.</w:t>
      </w:r>
    </w:p>
    <w:p>
      <w:pPr>
        <w:spacing w:after="0" w:line="99"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In addition, we could face a variety of employee or employee-related claims against us, including but not limited to discrimination, privacy, wage and hour, labor and employment, Employee Retirement Income Security Act, occupational safety and health, and disability claims. Any claims could also result in litigation or regulatory proceedings being brought against us by various government agencies that regulate our business, including but not limited to the U.S. Equal Employment Opportunity Commission and U.S. Department of Labor (including the Occupational Safety and Health Administration). Often these cases raise complex factual and legal issues and create risks and uncertainties. If we were to become subject to such labor disputes or other employee-related disputes, it could have a negative effect on our business, financial condition and results of operations.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Financial and Accounting Matters</w:t>
      </w:r>
    </w:p>
    <w:p>
      <w:pPr>
        <w:spacing w:after="0" w:line="138"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controls over financial reporting, and the failure to achieve and maintain effective internal controls over financial reporting could harm our business and negatively impact the value of our common stock.</w:t>
      </w:r>
    </w:p>
    <w:p>
      <w:pPr>
        <w:spacing w:after="0" w:line="9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audit of our consolidated financial statements as of and for the year ended December 31, 2025, we identified material weaknesses in our internal control over financial reporting that we are currently working to remediate, which relate to: (a) insufficient segregation of duties in the financial statement reporting and general information technology processes; (b) a lack of sufficient levels of staff with public company and technical accounting experience to maintain proper control activities and perform risk assessment and monitoring activities; and (c) insufficient general information technology controls, including access security and change management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have concluded that these material weaknesses in our internal control over financial reporting occurred because we do not have the necessary business processes, personnel and related internal controls to operate in a manner to satisfy the accounting and financial reporting timeline requirements of a public company.</w:t>
      </w:r>
    </w:p>
    <w:p>
      <w:pPr>
        <w:spacing w:after="0" w:line="106"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We are focused on designing and implementing effective internal controls measures to improve our evaluation of disclosure controls and procedures, including internal control over financial reporting, and remediating the material weaknesses. We also plan to recruit additional qualified financial reporting and accounting personnel following the completion of this offering to enhance our financial reporting capabilities.</w:t>
      </w:r>
    </w:p>
    <w:p>
      <w:pPr>
        <w:spacing w:after="0" w:line="97"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However, we cannot assure you that the measures we are taking to remediate the material weaknesses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the NASDAQ, investors may lose confidence in our financial reporting and our stock price may decline as a result.</w:t>
      </w:r>
    </w:p>
    <w:p>
      <w:pPr>
        <w:sectPr>
          <w:pgSz w:w="11900" w:h="16838" w:orient="portrait"/>
          <w:cols w:equalWidth="0" w:num="1">
            <w:col w:w="9019"/>
          </w:cols>
          <w:pgMar w:left="1440" w:top="90" w:right="1440" w:bottom="357" w:gutter="0" w:footer="0" w:header="0"/>
        </w:sectPr>
      </w:pPr>
    </w:p>
    <w:bookmarkStart w:id="60" w:name="page61"/>
    <w:bookmarkEnd w:id="60"/>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There are material limitations with making preliminary estimates of our financial and operating results for the period ended March 31, 2026, prior to the completion of our and our auditors’ financial review procedures for such period.</w:t>
      </w:r>
    </w:p>
    <w:p>
      <w:pPr>
        <w:spacing w:after="0" w:line="9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Our independent registered public accounting firm has not conducted an audit or review of, and does not express an opinion or any other form of assurance with respect to, the preliminary unaudited results. It is possible that we, or our independent registered public accounting firm, may identify items that require us to make adjustments to the preliminary estimates of financial and operating results contained herein.</w:t>
      </w:r>
    </w:p>
    <w:p>
      <w:pPr>
        <w:spacing w:after="0" w:line="97"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preliminary estimates of revenues, net loss, capital expenditures, cash and cash equivalents and long-term debt contained in “Prospectus Summary—Recent Developments —Preliminary Financial and Operating Results for the Three Months Ended March 31, 2026 (Unaudited)” are not a comprehensive statement of our financial results for the period ended March 31, 2026. Our financial statements for the period ended March 31, 2026, will not be available until after this offering is completed and, consequently, will not be available to you prior to investing in this offering. Our actual results for the period ended March 31, 2026, are not expected to differ materially from the preliminary estimates we have provided as a result of the completion of our financial closing procedures, final adjustments, and other developments arising between now and the time that our financial results for such periods are finalized.</w:t>
      </w:r>
    </w:p>
    <w:p>
      <w:pPr>
        <w:spacing w:after="0" w:line="275"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The selected preliminary consolidated financial data contained herein has been prepared by, and is the responsibility of, our management. Deloitte &amp; Touche LLP has not audited, reviewed, compiled or performed any procedures with respect to this preliminary consolidated financial data. Accordingly, Deloitte &amp; Touche LLP does not express an opinion or any other form of assurance with respect thereto.</w:t>
      </w:r>
    </w:p>
    <w:p>
      <w:pPr>
        <w:spacing w:after="0" w:line="9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Further, our preliminary estimated results are not necessarily indicative of the results to be expected for the remainder of the fiscal year ending December 31, 2026 or any future period as a result of various factors, including, but not limited to, those discussed in the sections titled “Risk Factors,” “Management’s Discussion and Analysis of Financial Condition and Results of Operations” and “Cautionary Note Regarding Forward-Looking Statements.” Accordingly, you should not place undue reliance upon these preliminary estimates.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Owning Our Common Stock</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are controlled by our Co-Founders, whose interests in our business may conflict with ours or yours.</w:t>
      </w:r>
    </w:p>
    <w:p>
      <w:pPr>
        <w:spacing w:after="0" w:line="144" w:lineRule="exact"/>
        <w:rPr>
          <w:sz w:val="20"/>
          <w:szCs w:val="20"/>
          <w:color w:val="auto"/>
        </w:rPr>
      </w:pPr>
    </w:p>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Our Class B common stock is beneficially owned by our Co-Founders, Tim Latimer and Jack Norbeck, PhD., who also serve as our Chief Executive Officer and Chief Technical Officer, respectively, whose interests may differ from or conflict with the interests of our other stockholders. Each share of our Class A common stock is entitled to one vote per share. Each share of our Class B common stock is entitled to 40 votes per share. Because of the forty-to-one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Following this offering, our Co-Founders will hold all of the issued and outstanding shares of our Class B common stock and, accordingly, will beneficially own approximately 2.75% of our outstanding capital stock and control approximately 53.03% of the voting power of our outstanding capital stock (assuming no exercise of the underwriters’ option to purchase additional shares to cover over-allotments, if any, and assuming Mr. Latimer and Dr. Norbeck do not purchase any shares of Class A common stock pursuant to the reserved share program). Assuming all outstanding stock options held by the Co-Founders that are vested or will vest within 60 days of April 30, 2026 vest and are exercised, the Co-Founders would control approximately 62.1% of the combined voting power of our outstanding capital stock. As a result, our Co-Founders will have the ability to exercise control over our affairs, including control over the outcome of all matters submitted to our stockholders for approval, including the election of directors and significant corporate transactions. The directors so elected will have the authority, subject to the terms of our indebtedness and applicable rules and regulations, to issue additional stock, implement stock repurchase programs, declare dividends and make other decisions. Our Co-Founders may have interests that differ from yours and may vote in a way with which you disagree and which may be adverse to your interests. For example, our Co-Founders may have a different tax position or other differing incentives from other stockholders that could influence their decisions regarding whether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59"/>
        <w:spacing w:after="0" w:line="274" w:lineRule="auto"/>
        <w:rPr>
          <w:sz w:val="20"/>
          <w:szCs w:val="20"/>
          <w:color w:val="auto"/>
        </w:rPr>
      </w:pPr>
      <w:r>
        <w:rPr>
          <w:rFonts w:ascii="Times New Roman" w:cs="Times New Roman" w:eastAsia="Times New Roman" w:hAnsi="Times New Roman"/>
          <w:sz w:val="14"/>
          <w:szCs w:val="14"/>
          <w:color w:val="auto"/>
        </w:rPr>
        <w:t>and when to cause us to dispose of assets, incur new or refinance existing indebtedness or take other actions. Additionally, our Co-Founders may cause us to make strategic decisions or pursue acquisitions that could involve risks to you or may not be aligned with your interests.</w:t>
      </w:r>
    </w:p>
    <w:p>
      <w:pPr>
        <w:spacing w:after="0" w:line="93"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Further,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Moreover, while stockholders would generally be entitled to dissenters’ rights of appraisal under applicable Delaware law, there are certain exceptions. As a result, our Co-Founders will be able to effectively control us.</w:t>
      </w:r>
    </w:p>
    <w:p>
      <w:pPr>
        <w:spacing w:after="0" w:line="103"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Future transfers of Class B common stock will generally result in those shares converting into shares of Class A common stock, subject to limited exceptions set forth in our Amended Charter, including transfers to immediate family members (including upon the death of one of our Co-Founders), trusts (including grantor retained annuity trusts) for which the stockholder or their immediate family member serves as trustee, and partnerships, corporations, and other entities exclusively owned by one of our Co-Founders or their immediate families. In addition, each share</w:t>
      </w:r>
    </w:p>
    <w:p>
      <w:pPr>
        <w:sectPr>
          <w:pgSz w:w="11900" w:h="16904" w:orient="portrait"/>
          <w:cols w:equalWidth="0" w:num="1">
            <w:col w:w="9019"/>
          </w:cols>
          <w:pgMar w:left="1440" w:top="329" w:right="1440" w:bottom="0" w:gutter="0" w:footer="0" w:header="0"/>
        </w:sectPr>
      </w:pPr>
    </w:p>
    <w:bookmarkStart w:id="61" w:name="page62"/>
    <w:bookmarkEnd w:id="61"/>
    <w:p>
      <w:pPr>
        <w:spacing w:after="0" w:line="113" w:lineRule="exact"/>
        <w:rPr>
          <w:sz w:val="20"/>
          <w:szCs w:val="20"/>
          <w:color w:val="auto"/>
        </w:rPr>
      </w:pPr>
    </w:p>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of Class B common stock will convert automatically into one share of Class A common stock upon the earliest to occur of (i) the first trading day following the seventh anniversary of this offering, (ii) the date on which the number of shares of Class A and Class B common stock beneficially owned by Mr. Latimer’s and Dr. Norbeck’s permitted transferees (including shares underlying outstanding options) represents less than 25% of the shares of Class A and Class B common stock beneficially owned by Mr. Latimer and Dr. Norbeck, in the aggregate, on the closing date of this offering, (iii) the death or disability of a Co-Founder, and (iv) the termination of a Co-Founder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-648335</wp:posOffset>
            </wp:positionV>
            <wp:extent cx="716026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cannot predict the effect our multi-class structure may have on the market price of our Class A common stock.</w:t>
      </w:r>
    </w:p>
    <w:p>
      <w:pPr>
        <w:spacing w:after="0" w:line="77"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spacing w:after="0" w:line="101"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 These actions could make our Class A common stock less attractive to other investors. As a result, the market price of our Class A common stock could be adversely affected.</w:t>
      </w:r>
    </w:p>
    <w:p>
      <w:pPr>
        <w:spacing w:after="0" w:line="95"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Prior to this offering, there has been no established public market for our Class A common stock, and we cannot guarantee that an active and liquid trading market will develop or be maintained post-offering.</w:t>
      </w:r>
    </w:p>
    <w:p>
      <w:pPr>
        <w:spacing w:after="0" w:line="77"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the completion of this offering. An active or liquid market in our Class A common stock may not develop upon completion of this offering or, if it does develop, it may not be sustainable. In the absence of an active trading market for our Class A common stock, you may not be able to resell any shares you hold at or above the initial public offering price or at all.</w:t>
      </w:r>
    </w:p>
    <w:p>
      <w:pPr>
        <w:spacing w:after="0" w:line="101"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An inactive market may also impair our ability to raise capital to continue to fund operations by selling shares and may impair our ability to acquire other companies or technologies by using our shares as consideration. We cannot predict the prices at which our Class A common stock will trade.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There may not be an active, liquid trading market for shares of our Class A common stock, which may cause shares of our Class A common stock to trade at a discount from the initial offering price and make it difficult to sell the shares of Class A common stock you purchase.</w:t>
      </w:r>
    </w:p>
    <w:p>
      <w:pPr>
        <w:spacing w:after="0" w:line="9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Prior to this offering, there has not been a public trading market for shares of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Class A common stock at an attractive price or at all. The initial public offering price per share of Class A common stock will be determined by agreement between us and the representatives of the underwriters, and may not be indicative of the price at which shares of our Class A common stock will trade in the public market after this offering. The market price of our Class A common stock may decline below the initial offering price and you may not be able to sell your shares of our Class A common stock at or above the price you paid in this offering, or at all. An inactive trading market may also impair our ability to raise capital to continue to fund operations by selling shares and may impair our ability to acquire other companies or assets by using our shares as consideration.</w:t>
      </w:r>
    </w:p>
    <w:p>
      <w:pPr>
        <w:spacing w:after="0" w:line="271" w:lineRule="exact"/>
        <w:rPr>
          <w:sz w:val="20"/>
          <w:szCs w:val="20"/>
          <w:color w:val="auto"/>
        </w:rPr>
      </w:pP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grant of registration rights to certain of our shareholders, and the future exercise of such rights may adversely affect the market price of our Class A common stock.</w:t>
      </w:r>
    </w:p>
    <w:p>
      <w:pPr>
        <w:spacing w:after="0" w:line="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Pursuant to the Registration Rights Agreement entered into in connection with this offering, certain of our stockholders and their permitted transferees can demand that we register the resale of their registrable shares of Class A common stock. We will bear the cost of registering these securities. The registration and availability of such a significant number of securities for trading in the public market may have an adverse effect on the market price of our Class A common stock.</w:t>
      </w:r>
    </w:p>
    <w:p>
      <w:pPr>
        <w:spacing w:after="0" w:line="99"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If and when one or more registration statements covering these resales become effective, a substantial number of additional shares of our Class A common stock could become freely tradable in the public market. The perception that such sales may occur, the actual occurrence of such sales (including pursuant to any lock-up releases, permitted transfers or resales by affiliates), or the availability of these securities for sale could materially and adversely affect the market price and trading volume of our Class A common stock. These effects could be exacerbated if significant holders elect to promptly sell their shares following the effectiveness of a registration statement, upon expiration of any contractual restrictions, or upon the occurrence of other liquidity events.</w:t>
      </w:r>
    </w:p>
    <w:p>
      <w:pPr>
        <w:spacing w:after="0" w:line="101"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In addition, sales of a substantial number of shares of our Class A common stock in the public market, or the perception that these sales could occur, may make it more difficult for us to raise additional capital through future equity offerings at prices we consider attractive, dilute the ownership interests of our existing stockholders, and increase the volatility of our stock price. We cannot predict the timing, amount, or effect of any sales of our securities that may be made by the selling securityholders, and there can be no assurance that a trading market that supports prevailing or higher prices will be sustained.</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Moreover, if we issue additional shares of Class A common stock or other equity-linked securities in the future, whether in connection with acquisitions, strategic transactions, employee compensation, or otherwise, our existing stockholders will experience additional dilution, and any such issuances could further increase the number of shares available for resale. Short sales or hedging transactions by investors that receive shares in such transactions, or by the selling securityholders following the effectiveness of a registration statement, could also depress the market price of our Class A common stock. Because the market price of our Class A common stock may be volatile, stockholders who purchase shares could lose a significant portion of their investments if our stock price declines, and we cannot predict or estimate the effect that future sales or availability for sale of our securities will have on the market price of our Class A common stock.</w:t>
      </w:r>
    </w:p>
    <w:p>
      <w:pPr>
        <w:sectPr>
          <w:pgSz w:w="11900" w:h="16951" w:orient="portrait"/>
          <w:cols w:equalWidth="0" w:num="1">
            <w:col w:w="9019"/>
          </w:cols>
          <w:pgMar w:left="1440" w:top="104" w:right="1440" w:bottom="0" w:gutter="0" w:footer="0" w:header="0"/>
        </w:sectPr>
      </w:pPr>
    </w:p>
    <w:bookmarkStart w:id="62" w:name="page63"/>
    <w:bookmarkEnd w:id="62"/>
    <w:p>
      <w:pPr>
        <w:jc w:val="both"/>
        <w:ind w:left="1160" w:right="1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Our stock price may fluctuate significantly following this offering, and you may not be able to resell shares of our Class A common stock at or above the price you paid or at all, and you could lose all or part of your investment as a result.</w:t>
      </w:r>
    </w:p>
    <w:p>
      <w:pPr>
        <w:spacing w:after="0" w:line="9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Even if a trading market develops, the market price of our Class A common stock may be highly volatile and could be subject to wide fluctuations. You may not be able to resell your shares at or above the initial public offering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539"/>
        <w:spacing w:after="0" w:line="292" w:lineRule="auto"/>
        <w:rPr>
          <w:sz w:val="20"/>
          <w:szCs w:val="20"/>
          <w:color w:val="auto"/>
        </w:rPr>
      </w:pPr>
      <w:r>
        <w:rPr>
          <w:rFonts w:ascii="Times New Roman" w:cs="Times New Roman" w:eastAsia="Times New Roman" w:hAnsi="Times New Roman"/>
          <w:sz w:val="14"/>
          <w:szCs w:val="14"/>
          <w:color w:val="auto"/>
        </w:rPr>
        <w:t>price due to a number of factors such as those listed in “—Risks related to Our Business and Industry” and the following:</w:t>
      </w:r>
    </w:p>
    <w:p>
      <w:pPr>
        <w:spacing w:after="0" w:line="81" w:lineRule="exact"/>
        <w:rPr>
          <w:sz w:val="20"/>
          <w:szCs w:val="20"/>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operations that vary from the expectations of securities analysts and investors;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operations that vary from those of our competitors;</w:t>
      </w:r>
    </w:p>
    <w:p>
      <w:pPr>
        <w:spacing w:after="0" w:line="139"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as to our future financial performance, including financial estimates and investment recommendations by securities analysts and investors;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economic conditions for companies in our industry;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or earnings and other announcements by, companies in our industry;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the market prices of stocks generally, particularly those of companies in our industry;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us or our competitors;</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68"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 or announcements relating to government awards, or changes in government spending or policy;</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preferences of our customers and our market share;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or market conditions or trends in our industry or the economy as a whole;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or regulatory conditions;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or other securities;</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perceptions of or the investment opportunity associated with our Class A common stock relative to other investment alternatives;</w:t>
      </w:r>
    </w:p>
    <w:p>
      <w:pPr>
        <w:spacing w:after="0" w:line="80"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response to press releases or other public announcements by us or third parties, including our filings with the SEC;</w:t>
      </w:r>
    </w:p>
    <w:p>
      <w:pPr>
        <w:spacing w:after="0" w:line="80" w:lineRule="exact"/>
        <w:rPr>
          <w:rFonts w:ascii="Times New Roman" w:cs="Times New Roman" w:eastAsia="Times New Roman" w:hAnsi="Times New Roman"/>
          <w:sz w:val="14"/>
          <w:szCs w:val="14"/>
          <w:color w:val="auto"/>
        </w:rPr>
      </w:pPr>
    </w:p>
    <w:p>
      <w:pPr>
        <w:ind w:left="1660" w:right="149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proposed changes in laws or regulations or differing interpretations or enforcement thereof affecting our business;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relating to litigation or governmental investigations;</w:t>
      </w:r>
    </w:p>
    <w:p>
      <w:pPr>
        <w:spacing w:after="0" w:line="139"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guidance, if any, that we provide to the public, any changes in this guidance or our failure to meet this guidance;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sustainability of an active trading market for our stock;</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and</w:t>
      </w:r>
    </w:p>
    <w:p>
      <w:pPr>
        <w:spacing w:after="0" w:line="139" w:lineRule="exact"/>
        <w:rPr>
          <w:rFonts w:ascii="Times New Roman" w:cs="Times New Roman" w:eastAsia="Times New Roman" w:hAnsi="Times New Roman"/>
          <w:sz w:val="14"/>
          <w:szCs w:val="14"/>
          <w:color w:val="auto"/>
        </w:rPr>
      </w:pPr>
    </w:p>
    <w:p>
      <w:pPr>
        <w:ind w:left="1660" w:right="1639" w:hanging="249"/>
        <w:spacing w:after="0" w:line="292" w:lineRule="auto"/>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informational technology system failures and disruptions, natural disasters, pandemics, war, acts of terrorism or responses to these events.</w:t>
      </w:r>
    </w:p>
    <w:p>
      <w:pPr>
        <w:spacing w:after="0" w:line="8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Furthermore, the stock market in general, and companies in our industry in particular, have experienced extreme volatility that, in some cases, were unrelated or disproportionate to the operating performance of these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In the past, following periods of market volatility or the reporting of unfavorable news, stockholders have instituted securities class action litigation. If we were to become involved in securities litigation, it could have a substantial cost and divert resources and the attention of management from our business regardless of the outcome of such litigation.</w:t>
      </w:r>
    </w:p>
    <w:p>
      <w:pPr>
        <w:spacing w:after="0" w:line="93" w:lineRule="exact"/>
        <w:rPr>
          <w:sz w:val="20"/>
          <w:szCs w:val="20"/>
          <w:color w:val="auto"/>
        </w:rPr>
      </w:pPr>
    </w:p>
    <w:p>
      <w:pPr>
        <w:jc w:val="both"/>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quarterly operating results may fluctuate in the future and be less than prior periods, and our projections or the expectations of securities analysts or investors may worsen, which could materially adversely affect our stock price.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Our operating results may fluctuate from quarter to quarter in the future. Therefore, results of any one fiscal</w:t>
      </w:r>
    </w:p>
    <w:p>
      <w:pPr>
        <w:sectPr>
          <w:pgSz w:w="11900" w:h="16838" w:orient="portrait"/>
          <w:cols w:equalWidth="0" w:num="1">
            <w:col w:w="9019"/>
          </w:cols>
          <w:pgMar w:left="1440" w:top="282" w:right="1440" w:bottom="0" w:gutter="0" w:footer="0" w:header="0"/>
        </w:sectPr>
      </w:pPr>
    </w:p>
    <w:bookmarkStart w:id="63" w:name="page64"/>
    <w:bookmarkEnd w:id="63"/>
    <w:p>
      <w:pPr>
        <w:spacing w:after="0" w:line="10" w:lineRule="exact"/>
        <w:rPr>
          <w:sz w:val="20"/>
          <w:szCs w:val="20"/>
          <w:color w:val="auto"/>
        </w:rPr>
      </w:pPr>
    </w:p>
    <w:p>
      <w:pPr>
        <w:ind w:left="1160" w:right="1259"/>
        <w:spacing w:after="0" w:line="193" w:lineRule="auto"/>
        <w:rPr>
          <w:sz w:val="20"/>
          <w:szCs w:val="20"/>
          <w:color w:val="auto"/>
        </w:rPr>
      </w:pPr>
      <w:r>
        <w:rPr>
          <w:rFonts w:ascii="Times New Roman" w:cs="Times New Roman" w:eastAsia="Times New Roman" w:hAnsi="Times New Roman"/>
          <w:sz w:val="14"/>
          <w:szCs w:val="14"/>
          <w:color w:val="auto"/>
        </w:rPr>
        <w:t>quarter are not a reliable indication of results to be expected for any other fiscal quarter or for any year. If we fail to increase our results over prior periods, to achieve our projected results or to meet the expectations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-134620</wp:posOffset>
            </wp:positionV>
            <wp:extent cx="716026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both"/>
        <w:ind w:left="1160" w:right="1199"/>
        <w:spacing w:after="0" w:line="264" w:lineRule="auto"/>
        <w:rPr>
          <w:sz w:val="20"/>
          <w:szCs w:val="20"/>
          <w:color w:val="auto"/>
        </w:rPr>
      </w:pPr>
      <w:r>
        <w:rPr>
          <w:rFonts w:ascii="Times New Roman" w:cs="Times New Roman" w:eastAsia="Times New Roman" w:hAnsi="Times New Roman"/>
          <w:sz w:val="14"/>
          <w:szCs w:val="14"/>
          <w:color w:val="auto"/>
        </w:rPr>
        <w:t>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95"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expect to pay cash dividends in the foreseeable future. Any return on your investment may be limited to increases in the market price of our Class A common stock.</w:t>
      </w:r>
    </w:p>
    <w:p>
      <w:pPr>
        <w:spacing w:after="0" w:line="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In addition, our ability to pay dividends is, and may be, limited by covenants of our current and any future</w:t>
      </w:r>
    </w:p>
    <w:p>
      <w:pPr>
        <w:spacing w:after="0" w:line="22" w:lineRule="exact"/>
        <w:rPr>
          <w:sz w:val="20"/>
          <w:szCs w:val="20"/>
          <w:color w:val="auto"/>
        </w:rPr>
      </w:pPr>
    </w:p>
    <w:p>
      <w:pPr>
        <w:ind w:left="1160" w:right="1259"/>
        <w:spacing w:after="0" w:line="172" w:lineRule="exact"/>
        <w:rPr>
          <w:sz w:val="20"/>
          <w:szCs w:val="20"/>
          <w:color w:val="auto"/>
        </w:rPr>
      </w:pPr>
      <w:r>
        <w:rPr>
          <w:rFonts w:ascii="Times New Roman" w:cs="Times New Roman" w:eastAsia="Times New Roman" w:hAnsi="Times New Roman"/>
          <w:sz w:val="14"/>
          <w:szCs w:val="14"/>
          <w:color w:val="auto"/>
        </w:rPr>
        <w:t>outstanding indebtedness we or our subsidiaries incur. In particular, existing and anticipated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financing arrangements generally restrict the ability of our project subsidiaries to make distributions upstream, including by prohibiting or conditioning distributions until project completion is achieved, required reserves are funded, no default exists and specified financial tests are met, and our holding company credit arrangements further condition the receipt of distributions from project subsidiaries. Our joint venture and subsidiary governing documents may also restrict the amount and timing of cash available for upstream distribution. Therefore, any return on investment in our Class A common stock is substantially dependent upon the appreciation of the price of our Class A common stock on the open market, which may not occur.</w:t>
      </w:r>
    </w:p>
    <w:p>
      <w:pPr>
        <w:spacing w:after="0" w:line="115" w:lineRule="exact"/>
        <w:rPr>
          <w:sz w:val="20"/>
          <w:szCs w:val="20"/>
          <w:color w:val="auto"/>
        </w:rPr>
      </w:pPr>
    </w:p>
    <w:p>
      <w:pPr>
        <w:ind w:left="1160" w:right="12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0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emerging growth company until the earliest of (i) the last day of the fiscal year: (a) following May 12, 2031 , the fifth anniversary of the Company IPO; (b) in which we have total annual gross revenue of at least $1,235,000,000; or (c) in which we are deemed to be a large accelerated filer, which means the market value of the shares of our Common Stock that are held by non-affiliates exceeds $700,000,000 as of the last business day of our prior second fiscal quarter, and (ii) the date on which we have issued more than $1,000,000,000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intend to take advantage of the benefits of this extended transition period.</w:t>
      </w:r>
    </w:p>
    <w:p>
      <w:pPr>
        <w:spacing w:after="0" w:line="10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our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Investors in this offering will suffer immediate and substantial dilution.</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initial public offering price per share of Class A common stock will be substantially higher than our adjusted net tangible book value (deficit)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by our existing stockholders. At the initial public offering price of $27.00 per share of Class A common stock, which is the price set forth on the cover page of this prospectus, you will incur immediate and substantial dilution in an amount of $ 17.53 per share of Class A common stock. If the underwriters exercise their option to purchase additional shares, you will experience additional dilution. See “Dilution.”</w:t>
      </w:r>
    </w:p>
    <w:p>
      <w:pPr>
        <w:spacing w:after="0" w:line="99" w:lineRule="exact"/>
        <w:rPr>
          <w:sz w:val="20"/>
          <w:szCs w:val="20"/>
          <w:color w:val="auto"/>
        </w:rPr>
      </w:pPr>
    </w:p>
    <w:p>
      <w:pPr>
        <w:ind w:left="1160" w:right="14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You may be diluted by the future issuance of additional Class A common stock and Class B common stock in connection with our incentive plans, acquisitions or otherwise.</w:t>
      </w:r>
    </w:p>
    <w:p>
      <w:pPr>
        <w:spacing w:after="0" w:line="7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After this offering we will have approximately 283,562,333 shares (or 294,062,333 shares if the underwriters exercise in full their option to purchase additional shares) of common stock authorized but unissued. Our Amended Charter, which is expected to become effective immediately prior to the consummation of this offering, will authorize us to issue these shares of Class A common stock and options relating to Class A common stock for the consideration and on the terms and conditions established by our board of directors in its sole discretion, whether in connection with acquisitions or otherwise. We have reserved shares for issuance under the 2026 Plan. See</w:t>
      </w:r>
    </w:p>
    <w:p>
      <w:pPr>
        <w:sectPr>
          <w:pgSz w:w="11900" w:h="16848" w:orient="portrait"/>
          <w:cols w:equalWidth="0" w:num="1">
            <w:col w:w="9019"/>
          </w:cols>
          <w:pgMar w:left="1440" w:top="94" w:right="1440" w:bottom="0" w:gutter="0" w:footer="0" w:header="0"/>
        </w:sectPr>
      </w:pPr>
    </w:p>
    <w:bookmarkStart w:id="64" w:name="page65"/>
    <w:bookmarkEnd w:id="64"/>
    <w:p>
      <w:pPr>
        <w:spacing w:after="0" w:line="115" w:lineRule="exact"/>
        <w:rPr>
          <w:sz w:val="20"/>
          <w:szCs w:val="20"/>
          <w:color w:val="auto"/>
        </w:rPr>
      </w:pPr>
    </w:p>
    <w:p>
      <w:pPr>
        <w:ind w:left="1160" w:right="1179"/>
        <w:spacing w:after="0" w:line="233" w:lineRule="auto"/>
        <w:rPr>
          <w:sz w:val="20"/>
          <w:szCs w:val="20"/>
          <w:color w:val="auto"/>
        </w:rPr>
      </w:pPr>
      <w:r>
        <w:rPr>
          <w:rFonts w:ascii="Times New Roman" w:cs="Times New Roman" w:eastAsia="Times New Roman" w:hAnsi="Times New Roman"/>
          <w:sz w:val="14"/>
          <w:szCs w:val="14"/>
          <w:color w:val="auto"/>
        </w:rPr>
        <w:t>“Executive and Director Compensation—Equity Compensation Plans.” Any Class A common stock and Class B common stock that we issue, including under the 2026 Plan or other incentive plans that we have adopted or we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59"/>
        <w:spacing w:after="0" w:line="260" w:lineRule="auto"/>
        <w:rPr>
          <w:sz w:val="20"/>
          <w:szCs w:val="20"/>
          <w:color w:val="auto"/>
        </w:rPr>
      </w:pPr>
      <w:r>
        <w:rPr>
          <w:rFonts w:ascii="Times New Roman" w:cs="Times New Roman" w:eastAsia="Times New Roman" w:hAnsi="Times New Roman"/>
          <w:sz w:val="14"/>
          <w:szCs w:val="14"/>
          <w:color w:val="auto"/>
        </w:rPr>
        <w:t>adopt in the future, would dilute the percentage ownership held by the investors who purchase Class A common stock in this offering. In the future, we may also issue our securities in connection with investments or acquisitions. The number of shares of our Class A common stock issued in connection with an investment or acquisition could constitute a material portion of our then-outstanding common stock. Any issuance of additional securities in connection with investments or acquisitions may result in additional dilution to you.</w:t>
      </w:r>
    </w:p>
    <w:p>
      <w:pPr>
        <w:spacing w:after="0" w:line="98"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77"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Upon consummation of this offering and after giving effect to the Stock Split, Reclassification, the Founder Share Exchange and the Preferred Stock Conversion, we will have a total of 275,776,919 shares of Class A common stock outstanding. All shares of our Class A common stock sold in this offering will be freely tradable without restriction or further registration under the Securities Act, except for any shares of Class A common stock held by our affiliates, as that term is defined under Rule 144 of the Securities Act (“Rule 144”), including our directors, executive officers and other affiliates, which may be sold only in compliance with the limitations described in “Shares Eligible for Future Sale.”</w:t>
      </w:r>
    </w:p>
    <w:p>
      <w:pPr>
        <w:spacing w:after="0" w:line="101"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The 72,035,354 shares of Class A common stock held by our directors, executive officers, certain affiliates and employees immediately following the consummation of this offering will represent approximately 26% of our total outstanding shares of Class A common stock following this offering, based on the number of shares outstanding as of April 29, 2026. Such shares will be “restricted securities” within the meaning of Rule 144 and subject to certain restrictions on resale following the consummation of this offering. Restricted securities may be sold in the public market only if they are registered under the Securities Act or are sold pursuant to an exemption from registration such as Rule 144, as described in “Shares Eligible for Future Sale.”</w:t>
      </w:r>
    </w:p>
    <w:p>
      <w:pPr>
        <w:spacing w:after="0" w:line="101"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In connection with this offering, we and all directors and executive officers and the holders of approximately 97% of our outstanding stock and stock options have agreed that, without the prior written consent of J.P. Morgan Securities LLC and BofA Securities, Inc. on behalf of the underwriters, we and they will not, and will not publicly disclose an intention to, dispose of or hedge any shares of our Class A common stock or securities convertible into or exchangeable for shares of our Class A common stock during the period ending 180 days after the date of this prospectus, subject to certain exceptions. See “Underwriting” for a description of these lock-up agreements.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Upon the expiration of the contractual lock-up agreements pertaining to this offering, up to an</w:t>
      </w:r>
    </w:p>
    <w:p>
      <w:pPr>
        <w:spacing w:after="0" w:line="25"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additional 205,005,185 shares of our Class A common stock will be eligible for sale in the public market, of which 89,126,623 are held by directors, executive officers and other affiliates and will be subject to volume, manner of sale and other limitations under Rule 144. Following completion of this offering, shares covered by registration rights would represent approximately 71% of our outstanding Class A common stock (or approximately 69%, if the underwriters exercise in full their option to purchase additional shares).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07"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7"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In addition, the shares of our Class A common stock and Class B common stock reserved for future issuance under the 2026 Plan will become eligible for sale in the public market once those shares are issued, subject to provisions relating to various vesting agreements, lock-up agreements and Rule 144, as applicable. A total of 35,107,737 s hares of Class A common stock and Class B common stock have been reserved for future issuance under the 2026 Plan.</w:t>
      </w:r>
    </w:p>
    <w:p>
      <w:pPr>
        <w:spacing w:after="0" w:line="99"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In the future, we may also issue our securities in connection with investments or acquisitions. The number of shares of our Class A common stock issued in connection with an investment or acquisition could constitute a material portion of our then-outstanding shares of Class A common stock. Any issuance of additional securities in connection with investments or acquisitions may result in additional dilution to you.</w:t>
      </w:r>
    </w:p>
    <w:p>
      <w:pPr>
        <w:spacing w:after="0" w:line="93"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to determine how to use the funds we receive from this offering and may use them in ways that may not enhance our results of operations or the price of our Class A common stock.</w:t>
      </w:r>
    </w:p>
    <w:p>
      <w:pPr>
        <w:spacing w:after="0" w:line="7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broad discretion over the use of proceeds we receive from this offering, and we could spend the proceeds we receive from this offering in ways our stockholders may not agree with or that do not yield a favorable return, or no return at all. We currently expect to use the net proceeds from this offering to for general corporate purposes, including capital expenditures, continued development of our GeoClusters, expansion of our land holdings portfolio, working capital, and operating expenses. We currently have no specific plan for the proceeds, or for any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219"/>
        <w:spacing w:after="0" w:line="274" w:lineRule="auto"/>
        <w:rPr>
          <w:sz w:val="20"/>
          <w:szCs w:val="20"/>
          <w:color w:val="auto"/>
        </w:rPr>
      </w:pPr>
      <w:r>
        <w:rPr>
          <w:rFonts w:ascii="Times New Roman" w:cs="Times New Roman" w:eastAsia="Times New Roman" w:hAnsi="Times New Roman"/>
          <w:sz w:val="14"/>
          <w:szCs w:val="14"/>
          <w:color w:val="auto"/>
        </w:rPr>
        <w:t>significant portion thereof, and accordingly are not able at this time to allocate or quantify the approximate amounts we expect to use for any particular purpose identified above. Additionally, we may use a portion of the net proceeds to acquire or invest in products, services or technologies. The identity of any potential targets is not known at this</w:t>
      </w:r>
    </w:p>
    <w:p>
      <w:pPr>
        <w:sectPr>
          <w:pgSz w:w="11900" w:h="16953" w:orient="portrait"/>
          <w:cols w:equalWidth="0" w:num="1">
            <w:col w:w="9019"/>
          </w:cols>
          <w:pgMar w:left="1440" w:top="94" w:right="1440" w:bottom="0" w:gutter="0" w:footer="0" w:header="0"/>
        </w:sectPr>
      </w:pPr>
    </w:p>
    <w:bookmarkStart w:id="65" w:name="page66"/>
    <w:bookmarkEnd w:id="6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59"/>
        <w:spacing w:after="0" w:line="261" w:lineRule="auto"/>
        <w:rPr>
          <w:sz w:val="20"/>
          <w:szCs w:val="20"/>
          <w:color w:val="auto"/>
        </w:rPr>
      </w:pPr>
      <w:r>
        <w:rPr>
          <w:rFonts w:ascii="Times New Roman" w:cs="Times New Roman" w:eastAsia="Times New Roman" w:hAnsi="Times New Roman"/>
          <w:sz w:val="14"/>
          <w:szCs w:val="14"/>
          <w:color w:val="auto"/>
        </w:rPr>
        <w:t>time and any such transactions, if pursued, would depend on the availability of suitable opportunities and market conditions. We do not have binding agreements or commitments for any material investments outside the ordinary course of our business at this time. The timing and amount of our actual expenditures will depend on numerous factors, including the progress of our project development activities, the growth of our operations and overall market conditions. If we do not invest or apply the proceeds we receive from this offering in ways that improve our results of operations, we may fail to achieve expected financial results or be required to raise additional capital, which could cause our stock price to decline. In addition, pending their use, the proceeds of this offering may be placed in investments that do not produce income or that may lose value.</w:t>
      </w:r>
    </w:p>
    <w:p>
      <w:pPr>
        <w:spacing w:after="0" w:line="99"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could decline if securities analysts cease to publish research or if securities analysts or other third parties publish inaccurate or unfavorable research about us.</w:t>
      </w:r>
    </w:p>
    <w:p>
      <w:pPr>
        <w:spacing w:after="0" w:line="7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trading market for our Class A common stock will depend in part on the research and reports that securities or industry analysts publish about us or our business, our market, and our competitors. We do not currently have and may never obtain research coverage by securities and industry analysts. We do not have any control over these analysts. If we fail to meet the expectations of these analysts, our stock price could be adversely affected.</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If no or few securities analysts commence coverage of us, the trading price for our Class A common stock would be negatively affected. In the event we obtain securities or industry analyst coverage, if one or more of the analysts who cover us downgrade our Class A common stock or publish inaccurate or unfavorable research about our business, our Class A common stock price would likely decline.</w:t>
      </w:r>
    </w:p>
    <w:p>
      <w:pPr>
        <w:spacing w:after="0" w:line="97"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If one or more of these analysts cease coverage of us or fail to publish reports on us regularly, demand for our Class A common stock could decrease, which may cause our Class A common stock price and trading volume to decline. lose visibility in the market, which in turn could cause our stock price or trading volume to decline.</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organizational documents could delay or prevent a change of control.</w:t>
      </w:r>
    </w:p>
    <w:p>
      <w:pPr>
        <w:spacing w:after="0" w:line="14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Certain provisions of our Amended Charter or Amended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Class A common stock.</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These provisions will provide for, among other things:</w:t>
      </w:r>
    </w:p>
    <w:p>
      <w:pPr>
        <w:spacing w:after="0" w:line="140" w:lineRule="exact"/>
        <w:rPr>
          <w:sz w:val="20"/>
          <w:szCs w:val="20"/>
          <w:color w:val="auto"/>
        </w:rPr>
      </w:pPr>
    </w:p>
    <w:p>
      <w:pPr>
        <w:ind w:left="1660" w:right="1219" w:hanging="249"/>
        <w:spacing w:after="0" w:line="274" w:lineRule="auto"/>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division of our board of directors into three classes, as nearly equal in size as possible, with directors in each class serving three-year terms and with terms of the directors of only one class expiring in any given year;</w:t>
      </w:r>
    </w:p>
    <w:p>
      <w:pPr>
        <w:spacing w:after="0" w:line="92" w:lineRule="exact"/>
        <w:rPr>
          <w:rFonts w:ascii="Times New Roman" w:cs="Times New Roman" w:eastAsia="Times New Roman" w:hAnsi="Times New Roman"/>
          <w:sz w:val="14"/>
          <w:szCs w:val="14"/>
          <w:color w:val="auto"/>
        </w:rPr>
      </w:pPr>
    </w:p>
    <w:p>
      <w:pPr>
        <w:ind w:left="1660" w:right="1199" w:hanging="249"/>
        <w:spacing w:after="0" w:line="274" w:lineRule="auto"/>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one or more series of preferred stock with voting or other rights or preferences that could have the effect of impeding the success of an attempt to acquire us or otherwise effect a change of control;</w:t>
      </w:r>
    </w:p>
    <w:p>
      <w:pPr>
        <w:spacing w:after="0" w:line="92" w:lineRule="exact"/>
        <w:rPr>
          <w:rFonts w:ascii="Times New Roman" w:cs="Times New Roman" w:eastAsia="Times New Roman" w:hAnsi="Times New Roman"/>
          <w:sz w:val="14"/>
          <w:szCs w:val="14"/>
          <w:color w:val="auto"/>
        </w:rPr>
      </w:pPr>
    </w:p>
    <w:p>
      <w:pPr>
        <w:ind w:left="1660" w:right="1179" w:hanging="249"/>
        <w:spacing w:after="0" w:line="274" w:lineRule="auto"/>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following the date that no shares of Class B common stock are outstanding, any action to be taken by our stockholders be effected at a duly called annual or special meeting and not by written consent;</w:t>
      </w:r>
    </w:p>
    <w:p>
      <w:pPr>
        <w:spacing w:after="0" w:line="92"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establish the number of directors and fill any vacancies and newly created directorships;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w:t>
      </w:r>
    </w:p>
    <w:p>
      <w:pPr>
        <w:spacing w:after="0" w:line="139" w:lineRule="exact"/>
        <w:rPr>
          <w:rFonts w:ascii="Times New Roman" w:cs="Times New Roman" w:eastAsia="Times New Roman" w:hAnsi="Times New Roman"/>
          <w:sz w:val="14"/>
          <w:szCs w:val="14"/>
          <w:color w:val="auto"/>
        </w:rPr>
      </w:pPr>
    </w:p>
    <w:p>
      <w:pPr>
        <w:ind w:left="1660" w:right="1899" w:hanging="249"/>
        <w:spacing w:after="0" w:line="292" w:lineRule="auto"/>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directors may only be removed “for cause” and only with the approval of two-thirds of our stockholders;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39" w:hanging="249"/>
        <w:spacing w:after="0" w:line="268"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multi-class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97"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nominations of directors by stockholders and for stockholders to include matters to be considered at stockholder meetings;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limitations on convening special stockholder meetings.</w:t>
      </w:r>
    </w:p>
    <w:p>
      <w:pPr>
        <w:spacing w:after="0" w:line="140"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These provisions could make it more difficult for a third-party to acquire us, even if the third-party’s offer may be considered beneficial by many of our stockholders. As a result, our stockholders may be limited in their ability to obtain a premium for their shares. See “Description of Capital Stock.”</w:t>
      </w:r>
    </w:p>
    <w:p>
      <w:pPr>
        <w:spacing w:after="0" w:line="89" w:lineRule="exact"/>
        <w:rPr>
          <w:sz w:val="20"/>
          <w:szCs w:val="20"/>
          <w:color w:val="auto"/>
        </w:rPr>
      </w:pPr>
    </w:p>
    <w:p>
      <w:pPr>
        <w:jc w:val="both"/>
        <w:ind w:left="1160" w:right="15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board has broad discretion to issue additional securities, including common stock. Future issuances of Common Stock could result in significant dilution to our existing stockholders, affecting the value of their investment and their voting power.</w:t>
      </w:r>
    </w:p>
    <w:p>
      <w:pPr>
        <w:spacing w:after="0" w:line="9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Sales of a substantial number of shares of the Class A common stock by our existing stockholders in the public market, or the perception that these sales might occur, could depress the market price of the Class A common stock and could impair our ability to raise additional capital through the issuance of additional equity securities. We are unable to predict the effect that such sales may have on the prevailing market price of the Common Stock.</w:t>
      </w:r>
    </w:p>
    <w:p>
      <w:pPr>
        <w:spacing w:after="0" w:line="97"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Any issuance of equity we may undertake in the future to raise additional capital could cause the price of the Class A common stock to decline, or require us to issue shares at a price that is lower than that paid by holders of the Class A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Class A Common Stock.</w:t>
      </w:r>
    </w:p>
    <w:p>
      <w:pPr>
        <w:sectPr>
          <w:pgSz w:w="11900" w:h="16880" w:orient="portrait"/>
          <w:cols w:equalWidth="0" w:num="1">
            <w:col w:w="9019"/>
          </w:cols>
          <w:pgMar w:left="1440" w:top="146" w:right="1440" w:bottom="0" w:gutter="0" w:footer="0" w:header="0"/>
        </w:sectPr>
      </w:pPr>
    </w:p>
    <w:p>
      <w:pPr>
        <w:spacing w:after="0" w:line="273"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Amended Charter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w:t>
      </w:r>
    </w:p>
    <w:p>
      <w:pPr>
        <w:sectPr>
          <w:pgSz w:w="11900" w:h="16880" w:orient="portrait"/>
          <w:cols w:equalWidth="0" w:num="1">
            <w:col w:w="9019"/>
          </w:cols>
          <w:pgMar w:left="1440" w:top="146" w:right="1440" w:bottom="0" w:gutter="0" w:footer="0" w:header="0"/>
          <w:type w:val="continuous"/>
        </w:sectPr>
      </w:pPr>
    </w:p>
    <w:bookmarkStart w:id="66" w:name="page67"/>
    <w:bookmarkEnd w:id="66"/>
    <w:p>
      <w:pPr>
        <w:ind w:left="1160" w:right="13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Act, which could limit our stockholders’ ability to obtain a favorable judicial forum for disputes with us or our directors, officers, employees 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-193675</wp:posOffset>
            </wp:positionV>
            <wp:extent cx="716026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9"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Our Amended Charter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Delaware’s General Corporation Law (the “DGCL”), Amended Charter or our Amended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Nothing in our Amended Charter or Amended Bylaws precludes stockholders that assert claims under the Exchange Act from bringing such claims in federal court to the extent that the Exchange Act confers exclusive federal jurisdiction over such claims, subject to applicable laws.</w:t>
      </w:r>
    </w:p>
    <w:p>
      <w:pPr>
        <w:spacing w:after="0" w:line="28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Alternatively, if a court were to find the choice of forum provision contained in our Amended Charter to be inapplicable or unenforceable in an action, we may incur additional costs associated with resolving such action in other jurisdictions, which could harm our business, results of operations and financial condition.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Any person or entity purchasing or otherwise acquiring or holding any interest in shares of our capital stock shall be deemed to have notice of and consented to the forum provisions in our Amended Charter. See “Description of Capital Stock—Exclusive Forum.”</w:t>
      </w:r>
    </w:p>
    <w:p>
      <w:pPr>
        <w:spacing w:after="0" w:line="102"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qualified board members and executive officers.</w:t>
      </w:r>
    </w:p>
    <w:p>
      <w:pPr>
        <w:spacing w:after="0" w:line="77"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As a public company, we are subject to extensive regulatory and compliance obligations, including those imposed by the Sarbanes-Oxley Act, the Dodd-Frank Wall Street Reform and Consumer Protection Act, and the rules and regulations of the SEC and the stock exchange on which our shares are listed.</w:t>
      </w:r>
    </w:p>
    <w:p>
      <w:pPr>
        <w:spacing w:after="0" w:line="9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Compliance with these requirements involves significant legal, accounting, and administrative expenses, as well as the need to implement and maintain effective internal controls over financial reporting. The process of establishing and monitoring these controls can be complex and time-consuming, requiring substantial management attention and resources. Any failure to maintain effective internal controls could result in material misstatements in our financial statements, leading to regulatory scrutiny, potential penalties, and a loss of investor confidence.</w:t>
      </w:r>
    </w:p>
    <w:p>
      <w:pPr>
        <w:spacing w:after="0" w:line="99"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Additionally, the increased public scrutiny and reporting obligations associated with being a public company may make it more challenging to attract and retain qualified individuals to serve on our board of directors or as executive officers. The demands of public company governance, coupled with the potential for personal liability, may deter potential candidates from joining our leadership team. Furthermore, the costs associated with directors’ and officers’ insurance have risen significantly, adding to our financial burden.</w:t>
      </w:r>
    </w:p>
    <w:p>
      <w:pPr>
        <w:spacing w:after="0" w:line="99" w:lineRule="exact"/>
        <w:rPr>
          <w:sz w:val="20"/>
          <w:szCs w:val="20"/>
          <w:color w:val="auto"/>
        </w:rPr>
      </w:pPr>
    </w:p>
    <w:p>
      <w:pPr>
        <w:jc w:val="both"/>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While we are committed to meeting our public company obligations and maintaining transparency with our stakeholders, the ongoing requirements and associated costs may impact our operational efficiency and strategic focus. Any inability to effectively manage these challenges could have a material adverse effect on our business, results of operations, and financial condition.</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Participation in this offering by our Cornerstone Investors could reduce the public float for our shares.</w:t>
      </w:r>
    </w:p>
    <w:p>
      <w:pPr>
        <w:spacing w:after="0" w:line="14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The Cornerstone Investors have, severally and not jointly, indicated an interest in purchasing up to an aggregate of $350 million in shares of our Class A common stock in this offering at the initial public offering price and on the same terms and conditions as the other purchasers in this offering. The shares of Class A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of our common stock purchased by the Cornerstone Investors as they will from the other shares sold to the public in this offering.</w:t>
      </w:r>
    </w:p>
    <w:p>
      <w:pPr>
        <w:spacing w:after="0" w:line="106"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If one or more of the Cornerstone Investors are allocated all or a portion (or more) of the shares of Class A common stock in which they have indicated an interest in purchasing in this offering, and purchase any such shares, such purchase could reduce the shares of our Class A common stock available for purchase on the open market if the Cornerstone Investors hold such shares of common stock long term.</w:t>
      </w:r>
    </w:p>
    <w:p>
      <w:pPr>
        <w:sectPr>
          <w:pgSz w:w="11900" w:h="16838" w:orient="portrait"/>
          <w:cols w:equalWidth="0" w:num="1">
            <w:col w:w="9019"/>
          </w:cols>
          <w:pgMar w:left="1440" w:top="90" w:right="1440" w:bottom="5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90" w:right="1440" w:bottom="512" w:gutter="0" w:footer="0" w:header="0"/>
          <w:type w:val="continuous"/>
        </w:sectPr>
      </w:pPr>
    </w:p>
    <w:bookmarkStart w:id="67" w:name="page68"/>
    <w:bookmarkEnd w:id="67"/>
    <w:tbl>
      <w:tblPr>
        <w:tblLayout w:type="fixed"/>
        <w:tblInd w:w="116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817"/>
        </w:trPr>
        <w:tc>
          <w:tcPr>
            <w:tcW w:w="1020" w:type="dxa"/>
            <w:vAlign w:val="bottom"/>
            <w:tcBorders>
              <w:top w:val="single" w:sz="8" w:color="0000FF"/>
            </w:tcBorders>
          </w:tcPr>
          <w:p>
            <w:pPr>
              <w:spacing w:after="0"/>
              <w:rPr>
                <w:sz w:val="24"/>
                <w:szCs w:val="24"/>
                <w:color w:val="auto"/>
              </w:rPr>
            </w:pPr>
          </w:p>
        </w:tc>
        <w:tc>
          <w:tcPr>
            <w:tcW w:w="44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1180" w:type="dxa"/>
            <w:vAlign w:val="bottom"/>
          </w:tcPr>
          <w:p>
            <w:pPr>
              <w:spacing w:after="0"/>
              <w:rPr>
                <w:sz w:val="24"/>
                <w:szCs w:val="24"/>
                <w:color w:val="auto"/>
              </w:rPr>
            </w:pPr>
          </w:p>
        </w:tc>
      </w:tr>
      <w:tr>
        <w:trPr>
          <w:trHeight w:val="287"/>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We estimate that we will receive net proceeds</w:t>
            </w: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from this offering of approximately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$1,767,385,600 (or</w:t>
            </w:r>
          </w:p>
        </w:tc>
      </w:tr>
      <w:tr>
        <w:trPr>
          <w:trHeight w:val="172"/>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$2,033,875,600 if the underwriters exercise in full their option to purchase additional shares 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 Class A common</w:t>
            </w:r>
          </w:p>
        </w:tc>
      </w:tr>
      <w:tr>
        <w:trPr>
          <w:trHeight w:val="172"/>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based on an initial public offering price of</w:t>
            </w:r>
          </w:p>
        </w:tc>
        <w:tc>
          <w:tcPr>
            <w:tcW w:w="3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$27.00 per share and after deducting estimated underwriting</w:t>
            </w:r>
          </w:p>
        </w:tc>
      </w:tr>
      <w:tr>
        <w:trPr>
          <w:trHeight w:val="186"/>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discounts and commissions and estimated offering expenses payable by us.</w:t>
            </w:r>
          </w:p>
        </w:tc>
        <w:tc>
          <w:tcPr>
            <w:tcW w:w="11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-1116965</wp:posOffset>
            </wp:positionV>
            <wp:extent cx="716026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5" w:lineRule="exact"/>
        <w:rPr>
          <w:sz w:val="20"/>
          <w:szCs w:val="20"/>
          <w:color w:val="auto"/>
        </w:rPr>
      </w:pPr>
    </w:p>
    <w:p>
      <w:pPr>
        <w:jc w:val="both"/>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The principal purposes of this offering are to create a public market for our Class A common stock, and enable access to the public equity markets for us and our Class A common stockholders. We intend to use the net proceeds from this offering for general corporate purposes, including capital expenditures, continued development of our</w:t>
      </w:r>
    </w:p>
    <w:p>
      <w:pPr>
        <w:spacing w:after="0" w:line="2" w:lineRule="exact"/>
        <w:rPr>
          <w:sz w:val="20"/>
          <w:szCs w:val="20"/>
          <w:color w:val="auto"/>
        </w:rPr>
      </w:pPr>
    </w:p>
    <w:p>
      <w:pPr>
        <w:ind w:left="1160" w:right="1179"/>
        <w:spacing w:after="0" w:line="256" w:lineRule="auto"/>
        <w:rPr>
          <w:sz w:val="20"/>
          <w:szCs w:val="20"/>
          <w:color w:val="auto"/>
        </w:rPr>
      </w:pPr>
      <w:r>
        <w:rPr>
          <w:rFonts w:ascii="Times New Roman" w:cs="Times New Roman" w:eastAsia="Times New Roman" w:hAnsi="Times New Roman"/>
          <w:sz w:val="14"/>
          <w:szCs w:val="14"/>
          <w:color w:val="auto"/>
        </w:rPr>
        <w:t xml:space="preserve">GeoClusters, expansion of our land holdings portfolio, working capital, and operating expenses </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We have not established specific allocations for the net proceeds among the uses described above, and intend to allocate them in a manner that best supports our business objectives and strategic priorities. The actual amounts and timing of expenditures will depend on a number of factors, including the level of proceeds received, business conditions, and evolving operational needs. If we receive less than the maximum anticipated proceeds, we currently expect to prioritize working capital and operating expenses, and may defer or reduce other expenditures accordingly. We do not currently intend to use a material amount of the proceeds of this offering to discharge specific indebtedness or acquire assets other than in the ordinary course of business. Additionally, we may use a portion of the net proceeds to acquire or invest in products, services or technologies; the identity of any potential targets is not known at this time and any such transactions, if pursued, would depend on the availability of suitable opportunities and market conditions. To the extent disclosure of possible terms or counterparties would jeopardize a potential transaction, we may limit such disclosure consistent with applicable requirements. However, we do not have binding agreements or commitments for any material investments outside the ordinary course of our business at this time. We reserve the right to change the use of proceeds if certain contingencies arise, including shifts in market conditions, strategic opportunities, or changes in our operating plans, and in such event we may increase or decrease spending among the potential uses identified above. The timing and amount of our actual expenditures will depend on numerous factors, including the progress of our research and development activities, the growth of our operations and overall market conditions. We will have broad discretion in the way that we use the net proceeds of this offering. For additional information regarding our liquidity, capital resources and anticipated capital expenditures, see “Management’s Discussion and Analysis of Financial Condition and Results of Operations—Liquidity and Capital Resources.” See also “Risk Factors — Risks Relating to Owning Our Common Stock — We have broad discretion to determine how to use the funds we receive from this offering and may use them in ways that may not enhance our results of operations or the price of our Class A common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if any, for the operation and expansion of our business. Accordingly, following this offering, we do not expect to declare or pay any cash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7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Additionally, we are a holding company that transacts a majority of our business through operating subsidiaries. Consequently, our ability to pay dividends to stockholders is largely dependent on receipt of dividends and other distributions from our subsidiaries. Certain of our subsidiaries are party to project-level financing arrangements that contractually restrict or prioritize cash distributions before any amounts can be upstreamed to us.</w:t>
      </w:r>
    </w:p>
    <w:p>
      <w:pPr>
        <w:spacing w:after="0" w:line="9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 xml:space="preserve">In addition, our ability to pay dividends is limited by the Credit Agreement, which contains negative covenants that generally prohibit us and our subsidiaries from making “Restricted Payments,” including dividends and other distributions, subject to only limited exceptions for certain subsidiary distributions that meet specified conditions, and may be limited by the agreements governing any indebtedness we or our subsidiaries may incur in the future. See “Risk Factors — Risks Relating to Owning Our Common Stock — We do not intend to pay dividends on our common stock for the foreseeable future.” and “ </w:t>
      </w:r>
      <w:r>
        <w:rPr>
          <w:rFonts w:ascii="Times New Roman" w:cs="Times New Roman" w:eastAsia="Times New Roman" w:hAnsi="Times New Roman"/>
          <w:sz w:val="14"/>
          <w:szCs w:val="14"/>
          <w:u w:val="single" w:color="auto"/>
          <w:color w:val="0000FF"/>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Results of Operations</w:t>
      </w:r>
      <w:r>
        <w:rPr>
          <w:rFonts w:ascii="Times New Roman" w:cs="Times New Roman" w:eastAsia="Times New Roman" w:hAnsi="Times New Roman"/>
          <w:sz w:val="14"/>
          <w:szCs w:val="14"/>
          <w:color w:val="000000"/>
        </w:rPr>
        <w:t>—Liquidity and Capital Resources” for additional information.</w:t>
      </w:r>
    </w:p>
    <w:p>
      <w:pPr>
        <w:sectPr>
          <w:pgSz w:w="11900" w:h="16838" w:orient="portrait"/>
          <w:cols w:equalWidth="0" w:num="1">
            <w:col w:w="9019"/>
          </w:cols>
          <w:pgMar w:left="1440" w:top="86" w:right="1440" w:bottom="227"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following table sets forth the cash and cash equivalents and our capitalization as of December 31, 2025 on:</w:t>
      </w:r>
    </w:p>
    <w:p>
      <w:pPr>
        <w:spacing w:after="0" w:line="140" w:lineRule="exact"/>
        <w:rPr>
          <w:sz w:val="20"/>
          <w:szCs w:val="20"/>
          <w:color w:val="auto"/>
        </w:rPr>
      </w:pPr>
    </w:p>
    <w:p>
      <w:pPr>
        <w:ind w:left="1660" w:hanging="249"/>
        <w:spacing w:after="0"/>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actual basis;</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68" w:lineRule="auto"/>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to give effect to (i) the Stock Split (ii) the filing and effectiveness of our Amended Charter, (iii) the Preferred Stock Conversion, (iv) the Founder Share Exchange, (v) the Reclassification, (vi) the exercise in full of the warrants held by Centaurus and (vii) borrowings under the Project Granite Facility and the repayment of the XRC Facility, in each case as if such event had occurred on December 31, 2025; and</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to give effect to the adjustments described in the preceding clause and to reflect the</w:t>
      </w:r>
    </w:p>
    <w:p>
      <w:pPr>
        <w:sectPr>
          <w:pgSz w:w="11900" w:h="16838" w:orient="portrait"/>
          <w:cols w:equalWidth="0" w:num="1">
            <w:col w:w="9019"/>
          </w:cols>
          <w:pgMar w:left="1440" w:top="1440" w:right="1440" w:bottom="304" w:gutter="0" w:footer="0" w:header="0"/>
        </w:sectPr>
      </w:pPr>
    </w:p>
    <w:p>
      <w:pPr>
        <w:spacing w:after="0" w:line="25" w:lineRule="exact"/>
        <w:rPr>
          <w:sz w:val="20"/>
          <w:szCs w:val="20"/>
          <w:color w:val="auto"/>
        </w:rPr>
      </w:pPr>
    </w:p>
    <w:p>
      <w:pPr>
        <w:ind w:left="1660" w:right="1359"/>
        <w:spacing w:after="0" w:line="256" w:lineRule="auto"/>
        <w:rPr>
          <w:sz w:val="20"/>
          <w:szCs w:val="20"/>
          <w:color w:val="auto"/>
        </w:rPr>
      </w:pPr>
      <w:r>
        <w:rPr>
          <w:rFonts w:ascii="Times New Roman" w:cs="Times New Roman" w:eastAsia="Times New Roman" w:hAnsi="Times New Roman"/>
          <w:sz w:val="14"/>
          <w:szCs w:val="14"/>
          <w:color w:val="auto"/>
        </w:rPr>
        <w:t>issuance and sale by us of 70,000,000 shares of our Class A common stock in this offering at the initial public offering price of $27.00 per share, after deducting the estimated underwriting discounts and</w:t>
      </w:r>
    </w:p>
    <w:p>
      <w:pPr>
        <w:sectPr>
          <w:pgSz w:w="11900" w:h="16838" w:orient="portrait"/>
          <w:cols w:equalWidth="0" w:num="1">
            <w:col w:w="9019"/>
          </w:cols>
          <w:pgMar w:left="1440" w:top="1440" w:right="1440" w:bottom="304" w:gutter="0" w:footer="0" w:header="0"/>
          <w:type w:val="continuous"/>
        </w:sectPr>
      </w:pPr>
    </w:p>
    <w:p>
      <w:pPr>
        <w:ind w:left="1660" w:right="1619"/>
        <w:spacing w:after="0" w:line="272" w:lineRule="auto"/>
        <w:rPr>
          <w:sz w:val="20"/>
          <w:szCs w:val="20"/>
          <w:color w:val="auto"/>
        </w:rPr>
      </w:pPr>
      <w:r>
        <w:rPr>
          <w:rFonts w:ascii="Times New Roman" w:cs="Times New Roman" w:eastAsia="Times New Roman" w:hAnsi="Times New Roman"/>
          <w:sz w:val="14"/>
          <w:szCs w:val="14"/>
          <w:color w:val="auto"/>
        </w:rPr>
        <w:t>commissions and estimated offering expenses payable by us, and the application of the net proceeds therefrom as described under “Use of Proceeds.”</w:t>
      </w:r>
    </w:p>
    <w:p>
      <w:pPr>
        <w:spacing w:after="0" w:line="94" w:lineRule="exact"/>
        <w:rPr>
          <w:sz w:val="20"/>
          <w:szCs w:val="20"/>
          <w:color w:val="auto"/>
        </w:rPr>
      </w:pPr>
    </w:p>
    <w:p>
      <w:pPr>
        <w:ind w:left="1160" w:right="1199" w:firstLine="258"/>
        <w:spacing w:after="0" w:line="266" w:lineRule="auto"/>
        <w:rPr>
          <w:sz w:val="20"/>
          <w:szCs w:val="20"/>
          <w:color w:val="auto"/>
        </w:rPr>
      </w:pPr>
      <w:r>
        <w:rPr>
          <w:rFonts w:ascii="Times New Roman" w:cs="Times New Roman" w:eastAsia="Times New Roman" w:hAnsi="Times New Roman"/>
          <w:sz w:val="14"/>
          <w:szCs w:val="14"/>
          <w:color w:val="auto"/>
        </w:rPr>
        <w:t>Our capitalization following the closing of this offering will be adjusted based on the actual initial public offering price and other terms of this offering determined at pricing. You should read this information in conjunction</w:t>
      </w:r>
    </w:p>
    <w:tbl>
      <w:tblPr>
        <w:tblLayout w:type="fixed"/>
        <w:tblInd w:w="1160" w:type="dxa"/>
        <w:tblCellMar>
          <w:top w:w="0" w:type="dxa"/>
          <w:left w:w="0" w:type="dxa"/>
          <w:bottom w:w="0" w:type="dxa"/>
          <w:right w:w="0" w:type="dxa"/>
        </w:tblCellMar>
      </w:tblPr>
      <w:tr>
        <w:trPr>
          <w:trHeight w:val="159"/>
        </w:trPr>
        <w:tc>
          <w:tcPr>
            <w:tcW w:w="25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with our  consolidated financial statements</w:t>
            </w:r>
          </w:p>
        </w:tc>
        <w:tc>
          <w:tcPr>
            <w:tcW w:w="4140" w:type="dxa"/>
            <w:vAlign w:val="bottom"/>
            <w:gridSpan w:val="9"/>
          </w:tcPr>
          <w:p>
            <w:pPr>
              <w:jc w:val="right"/>
              <w:ind w:right="111"/>
              <w:spacing w:after="0" w:line="159" w:lineRule="exact"/>
              <w:rPr>
                <w:sz w:val="20"/>
                <w:szCs w:val="20"/>
                <w:color w:val="auto"/>
              </w:rPr>
            </w:pPr>
            <w:r>
              <w:rPr>
                <w:rFonts w:ascii="Times New Roman" w:cs="Times New Roman" w:eastAsia="Times New Roman" w:hAnsi="Times New Roman"/>
                <w:sz w:val="14"/>
                <w:szCs w:val="14"/>
                <w:color w:val="auto"/>
              </w:rPr>
              <w:t>and the related notes included   elsewhere in this prospectus and the</w:t>
            </w:r>
          </w:p>
        </w:tc>
        <w:tc>
          <w:tcPr>
            <w:tcW w:w="0" w:type="dxa"/>
            <w:vAlign w:val="bottom"/>
          </w:tcPr>
          <w:p>
            <w:pPr>
              <w:spacing w:after="0"/>
              <w:rPr>
                <w:sz w:val="1"/>
                <w:szCs w:val="1"/>
                <w:color w:val="auto"/>
              </w:rPr>
            </w:pPr>
          </w:p>
        </w:tc>
      </w:tr>
      <w:tr>
        <w:trPr>
          <w:trHeight w:val="154"/>
        </w:trPr>
        <w:tc>
          <w:tcPr>
            <w:tcW w:w="5200" w:type="dxa"/>
            <w:vAlign w:val="bottom"/>
            <w:gridSpan w:val="7"/>
          </w:tcPr>
          <w:p>
            <w:pPr>
              <w:spacing w:after="0" w:line="15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Management’s Discussion and Analysis of Financial Condition and Results of Operations</w:t>
            </w:r>
          </w:p>
        </w:tc>
        <w:tc>
          <w:tcPr>
            <w:tcW w:w="1500" w:type="dxa"/>
            <w:vAlign w:val="bottom"/>
            <w:gridSpan w:val="4"/>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 section and other</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financial information contained in this prospectus.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left="531"/>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(In thousands, except share and per share data)</w:t>
            </w: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 xml:space="preserve">As Adjusted </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9"/>
                <w:szCs w:val="9"/>
                <w:color w:val="auto"/>
              </w:rPr>
            </w:pPr>
          </w:p>
        </w:tc>
        <w:tc>
          <w:tcPr>
            <w:tcW w:w="820" w:type="dxa"/>
            <w:vAlign w:val="bottom"/>
          </w:tcPr>
          <w:p>
            <w:pPr>
              <w:jc w:val="right"/>
              <w:ind w:right="131"/>
              <w:spacing w:after="0" w:line="114" w:lineRule="exact"/>
              <w:rPr>
                <w:sz w:val="20"/>
                <w:szCs w:val="20"/>
                <w:color w:val="auto"/>
              </w:rPr>
            </w:pPr>
            <w:r>
              <w:rPr>
                <w:rFonts w:ascii="Times New Roman" w:cs="Times New Roman" w:eastAsia="Times New Roman" w:hAnsi="Times New Roman"/>
                <w:sz w:val="11"/>
                <w:szCs w:val="11"/>
                <w:b w:val="1"/>
                <w:bCs w:val="1"/>
                <w:color w:val="auto"/>
              </w:rPr>
              <w:t>As Further</w:t>
            </w: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193"/>
        </w:trPr>
        <w:tc>
          <w:tcPr>
            <w:tcW w:w="38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Cashandcashequivalents</w:t>
            </w: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461,836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481,209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2,248,595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Indebtedness:</w:t>
            </w: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5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XRC Facility, Credit Facility and Project Granite Facility </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175,600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202,306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202,306</w:t>
            </w:r>
          </w:p>
        </w:tc>
        <w:tc>
          <w:tcPr>
            <w:tcW w:w="0" w:type="dxa"/>
            <w:vAlign w:val="bottom"/>
          </w:tcPr>
          <w:p>
            <w:pPr>
              <w:spacing w:after="0"/>
              <w:rPr>
                <w:sz w:val="1"/>
                <w:szCs w:val="1"/>
                <w:color w:val="auto"/>
              </w:rPr>
            </w:pPr>
          </w:p>
        </w:tc>
      </w:tr>
      <w:tr>
        <w:trPr>
          <w:trHeight w:val="226"/>
        </w:trPr>
        <w:tc>
          <w:tcPr>
            <w:tcW w:w="380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4020" w:type="dxa"/>
            <w:vAlign w:val="bottom"/>
            <w:gridSpan w:val="4"/>
            <w:shd w:val="clear" w:color="auto" w:fill="CCEEFF"/>
          </w:tcPr>
          <w:p>
            <w:pPr>
              <w:ind w:left="40"/>
              <w:spacing w:after="0" w:line="140" w:lineRule="exact"/>
              <w:rPr>
                <w:sz w:val="20"/>
                <w:szCs w:val="20"/>
                <w:color w:val="auto"/>
              </w:rPr>
            </w:pPr>
            <w:r>
              <w:rPr>
                <w:rFonts w:ascii="Times New Roman" w:cs="Times New Roman" w:eastAsia="Times New Roman" w:hAnsi="Times New Roman"/>
                <w:sz w:val="14"/>
                <w:szCs w:val="14"/>
                <w:color w:val="auto"/>
              </w:rPr>
              <w:t>Redeemable convertible preferred stock, par value $0.0001 per</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share; 283,545,547 authorized; 279,995,218 issued 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no shares issued 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outstanding on an as adjusted basis, no shares issued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1,022,942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0" w:type="dxa"/>
            <w:vAlign w:val="bottom"/>
            <w:shd w:val="clear" w:color="auto" w:fill="CCEEFF"/>
          </w:tcPr>
          <w:p>
            <w:pPr>
              <w:spacing w:after="0"/>
              <w:rPr>
                <w:sz w:val="16"/>
                <w:szCs w:val="16"/>
                <w:color w:val="auto"/>
              </w:rPr>
            </w:pP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outstanding on an as further adjusted basis </w:t>
            </w:r>
            <w:r>
              <w:rPr>
                <w:rFonts w:ascii="Times New Roman" w:cs="Times New Roman" w:eastAsia="Times New Roman" w:hAnsi="Times New Roman"/>
                <w:sz w:val="14"/>
                <w:szCs w:val="14"/>
                <w:color w:val="B4B4B4"/>
              </w:rPr>
              <w:t>................................</w:t>
            </w: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Cape Phase I HoldCo - Redeemable noncontrolling interest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102,586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0" w:type="dxa"/>
            <w:vAlign w:val="bottom"/>
          </w:tcPr>
          <w:p>
            <w:pPr>
              <w:spacing w:after="0"/>
              <w:rPr>
                <w:sz w:val="1"/>
                <w:szCs w:val="1"/>
                <w:color w:val="auto"/>
              </w:rPr>
            </w:pPr>
          </w:p>
        </w:tc>
      </w:tr>
      <w:tr>
        <w:trPr>
          <w:trHeight w:val="145"/>
        </w:trPr>
        <w:tc>
          <w:tcPr>
            <w:tcW w:w="4020" w:type="dxa"/>
            <w:vAlign w:val="bottom"/>
            <w:gridSpan w:val="4"/>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Cape Phase I Intermediate HoldCo - Redeemable noncontrolling</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0" w:type="dxa"/>
            <w:vAlign w:val="bottom"/>
          </w:tcPr>
          <w:p>
            <w:pPr>
              <w:spacing w:after="0"/>
              <w:rPr>
                <w:sz w:val="1"/>
                <w:szCs w:val="1"/>
                <w:color w:val="auto"/>
              </w:rPr>
            </w:pPr>
          </w:p>
        </w:tc>
      </w:tr>
      <w:tr>
        <w:trPr>
          <w:trHeight w:val="193"/>
        </w:trPr>
        <w:tc>
          <w:tcPr>
            <w:tcW w:w="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CCEEFF"/>
          </w:tcPr>
          <w:p>
            <w:pPr>
              <w:spacing w:after="0"/>
              <w:rPr>
                <w:sz w:val="13"/>
                <w:szCs w:val="13"/>
                <w:color w:val="auto"/>
              </w:rPr>
            </w:pPr>
          </w:p>
        </w:tc>
        <w:tc>
          <w:tcPr>
            <w:tcW w:w="3960" w:type="dxa"/>
            <w:vAlign w:val="bottom"/>
            <w:gridSpan w:val="3"/>
            <w:shd w:val="clear" w:color="auto" w:fill="CCEEFF"/>
          </w:tcPr>
          <w:p>
            <w:pPr>
              <w:ind w:left="60"/>
              <w:spacing w:after="0" w:line="152" w:lineRule="exact"/>
              <w:rPr>
                <w:sz w:val="20"/>
                <w:szCs w:val="20"/>
                <w:color w:val="auto"/>
              </w:rPr>
            </w:pPr>
            <w:r>
              <w:rPr>
                <w:rFonts w:ascii="Times New Roman" w:cs="Times New Roman" w:eastAsia="Times New Roman" w:hAnsi="Times New Roman"/>
                <w:sz w:val="14"/>
                <w:szCs w:val="14"/>
                <w:color w:val="auto"/>
              </w:rPr>
              <w:t>Common stock, par value $0.0001 per share; 358,278,774</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authorized; 13,145,979 issued and outstanding as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39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60" w:type="dxa"/>
            <w:vAlign w:val="bottom"/>
            <w:gridSpan w:val="3"/>
          </w:tcPr>
          <w:p>
            <w:pPr>
              <w:ind w:left="200"/>
              <w:spacing w:after="0" w:line="140" w:lineRule="exact"/>
              <w:rPr>
                <w:sz w:val="20"/>
                <w:szCs w:val="20"/>
                <w:color w:val="auto"/>
              </w:rPr>
            </w:pPr>
            <w:r>
              <w:rPr>
                <w:rFonts w:ascii="Times New Roman" w:cs="Times New Roman" w:eastAsia="Times New Roman" w:hAnsi="Times New Roman"/>
                <w:sz w:val="14"/>
                <w:szCs w:val="14"/>
                <w:color w:val="auto"/>
              </w:rPr>
              <w:t>1,000,000,000 shares authorized, no shares issued and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96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205,776,919 shares issued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960" w:type="dxa"/>
            <w:vAlign w:val="bottom"/>
            <w:gridSpan w:val="3"/>
          </w:tcPr>
          <w:p>
            <w:pPr>
              <w:ind w:left="200"/>
              <w:spacing w:after="0" w:line="144" w:lineRule="exact"/>
              <w:rPr>
                <w:sz w:val="20"/>
                <w:szCs w:val="20"/>
                <w:color w:val="auto"/>
              </w:rPr>
            </w:pPr>
            <w:r>
              <w:rPr>
                <w:rFonts w:ascii="Times New Roman" w:cs="Times New Roman" w:eastAsia="Times New Roman" w:hAnsi="Times New Roman"/>
                <w:sz w:val="14"/>
                <w:szCs w:val="14"/>
                <w:color w:val="auto"/>
              </w:rPr>
              <w:t>and outstanding on an as adjusted basis, 275,776,919 shares</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xml:space="preserve">issued and outstanding on an as further adjusted basis </w:t>
            </w:r>
            <w:r>
              <w:rPr>
                <w:rFonts w:ascii="Times New Roman" w:cs="Times New Roman" w:eastAsia="Times New Roman" w:hAnsi="Times New Roman"/>
                <w:sz w:val="14"/>
                <w:szCs w:val="14"/>
                <w:color w:val="B4B4B4"/>
              </w:rPr>
              <w:t>............</w:t>
            </w:r>
          </w:p>
        </w:tc>
        <w:tc>
          <w:tcPr>
            <w:tcW w:w="7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60"/>
              <w:spacing w:after="0" w:line="143" w:lineRule="exact"/>
              <w:rPr>
                <w:sz w:val="20"/>
                <w:szCs w:val="20"/>
                <w:color w:val="auto"/>
              </w:rPr>
            </w:pPr>
            <w:r>
              <w:rPr>
                <w:rFonts w:ascii="Times New Roman" w:cs="Times New Roman" w:eastAsia="Times New Roman" w:hAnsi="Times New Roman"/>
                <w:sz w:val="14"/>
                <w:szCs w:val="14"/>
                <w:color w:val="auto"/>
              </w:rPr>
              <w:t>Class B common stock, par value $0.0001 per share: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40,000,000 shares authorized, no shares issued 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outstanding on an actual basis, 7,785,414 shares issued 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outstanding on an as adjusted basis, 7,785,414 shares issued</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60" w:type="dxa"/>
            <w:vAlign w:val="bottom"/>
            <w:shd w:val="clear" w:color="auto" w:fill="CCEEFF"/>
          </w:tcPr>
          <w:p>
            <w:pPr>
              <w:spacing w:after="0"/>
              <w:rPr>
                <w:sz w:val="16"/>
                <w:szCs w:val="16"/>
                <w:color w:val="auto"/>
              </w:rPr>
            </w:pPr>
          </w:p>
        </w:tc>
        <w:tc>
          <w:tcPr>
            <w:tcW w:w="39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and outstanding on an as further adjusted basis </w:t>
            </w:r>
            <w:r>
              <w:rPr>
                <w:rFonts w:ascii="Times New Roman" w:cs="Times New Roman" w:eastAsia="Times New Roman" w:hAnsi="Times New Roman"/>
                <w:sz w:val="14"/>
                <w:szCs w:val="14"/>
                <w:color w:val="B4B4B4"/>
              </w:rPr>
              <w:t>.......................</w:t>
            </w:r>
          </w:p>
        </w:tc>
        <w:tc>
          <w:tcPr>
            <w:tcW w:w="76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304"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3800" w:type="dxa"/>
            <w:vAlign w:val="bottom"/>
          </w:tcPr>
          <w:p>
            <w:pPr>
              <w:spacing w:after="0"/>
              <w:rPr>
                <w:sz w:val="13"/>
                <w:szCs w:val="13"/>
                <w:color w:val="auto"/>
              </w:rPr>
            </w:pPr>
          </w:p>
        </w:tc>
        <w:tc>
          <w:tcPr>
            <w:tcW w:w="2080" w:type="dxa"/>
            <w:vAlign w:val="bottom"/>
            <w:tcBorders>
              <w:bottom w:val="single" w:sz="8" w:color="auto"/>
            </w:tcBorders>
            <w:gridSpan w:val="6"/>
          </w:tcPr>
          <w:p>
            <w:pPr>
              <w:jc w:val="center"/>
              <w:ind w:left="752"/>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8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(In thousands, except share and per share data)</w:t>
            </w:r>
          </w:p>
        </w:tc>
        <w:tc>
          <w:tcPr>
            <w:tcW w:w="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2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As Adjusted </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9"/>
                <w:szCs w:val="9"/>
                <w:color w:val="auto"/>
              </w:rPr>
            </w:pPr>
          </w:p>
        </w:tc>
        <w:tc>
          <w:tcPr>
            <w:tcW w:w="82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1"/>
                <w:szCs w:val="11"/>
                <w:b w:val="1"/>
                <w:bCs w:val="1"/>
                <w:color w:val="auto"/>
              </w:rPr>
              <w:t>As Further</w:t>
            </w:r>
          </w:p>
        </w:tc>
        <w:tc>
          <w:tcPr>
            <w:tcW w:w="0" w:type="dxa"/>
            <w:vAlign w:val="bottom"/>
          </w:tcPr>
          <w:p>
            <w:pPr>
              <w:spacing w:after="0"/>
              <w:rPr>
                <w:sz w:val="1"/>
                <w:szCs w:val="1"/>
                <w:color w:val="auto"/>
              </w:rPr>
            </w:pPr>
          </w:p>
        </w:tc>
      </w:tr>
      <w:tr>
        <w:trPr>
          <w:trHeight w:val="152"/>
        </w:trPr>
        <w:tc>
          <w:tcPr>
            <w:tcW w:w="38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140"/>
        </w:trPr>
        <w:tc>
          <w:tcPr>
            <w:tcW w:w="380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Preferred stock, par value $0.0001 par value per share: no</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shares authorized on an actual basis and 10,000,000 shares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260"/>
              <w:spacing w:after="0" w:line="144" w:lineRule="exact"/>
              <w:rPr>
                <w:sz w:val="20"/>
                <w:szCs w:val="20"/>
                <w:color w:val="auto"/>
              </w:rPr>
            </w:pPr>
            <w:r>
              <w:rPr>
                <w:rFonts w:ascii="Times New Roman" w:cs="Times New Roman" w:eastAsia="Times New Roman" w:hAnsi="Times New Roman"/>
                <w:sz w:val="14"/>
                <w:szCs w:val="14"/>
                <w:color w:val="auto"/>
              </w:rPr>
              <w:t>authorized on an adjusted basis and no shares outstanding on</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 actual or as further adjusted</w:t>
            </w:r>
            <w:r>
              <w:rPr>
                <w:rFonts w:ascii="Times New Roman" w:cs="Times New Roman" w:eastAsia="Times New Roman" w:hAnsi="Times New Roman"/>
                <w:sz w:val="14"/>
                <w:szCs w:val="14"/>
                <w:color w:val="B4B4B4"/>
              </w:rPr>
              <w:t>.................................................</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Additional paid-in capital </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2,860,874</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375,448 shares on an actual basis, and</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260"/>
              <w:spacing w:after="0" w:line="144" w:lineRule="exact"/>
              <w:rPr>
                <w:sz w:val="20"/>
                <w:szCs w:val="20"/>
                <w:color w:val="auto"/>
              </w:rPr>
            </w:pPr>
            <w:r>
              <w:rPr>
                <w:rFonts w:ascii="Times New Roman" w:cs="Times New Roman" w:eastAsia="Times New Roman" w:hAnsi="Times New Roman"/>
                <w:sz w:val="14"/>
                <w:szCs w:val="14"/>
                <w:color w:val="auto"/>
              </w:rPr>
              <w:t>no shares on an as adjusted basis or an as further adjusted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basis </w:t>
            </w:r>
            <w:r>
              <w:rPr>
                <w:rFonts w:ascii="Times New Roman" w:cs="Times New Roman" w:eastAsia="Times New Roman" w:hAnsi="Times New Roman"/>
                <w:sz w:val="14"/>
                <w:szCs w:val="14"/>
                <w:color w:val="B4B4B4"/>
              </w:rPr>
              <w:t>..........................................................................................</w:t>
            </w: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Accumulated deficit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(244,539)</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(293,527)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(297,101)</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Totalstockholders'(deficit)equity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(246,498)</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796,416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2,563,802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Totalcapitalization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1,131,974</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1,178,652</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2,946,038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4" w:lineRule="exact"/>
        <w:rPr>
          <w:sz w:val="20"/>
          <w:szCs w:val="20"/>
          <w:color w:val="auto"/>
        </w:rPr>
      </w:pPr>
    </w:p>
    <w:p>
      <w:pPr>
        <w:ind w:left="1420" w:right="1319" w:hanging="267"/>
        <w:spacing w:after="0" w:line="265" w:lineRule="auto"/>
        <w:tabs>
          <w:tab w:leader="none" w:pos="14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adjusted consolidated balance sheet data as of December 31, 2025 presents our consolidated balance sheet data to give effect to (i) the Stock Split, (ii) the Preferred Stock Conversion, (iii) the Reclassification, (iv) the Founder Share Exchange, (v) the filing and effectiveness of our Amended Charter, (vi) the exercise in full of the warrants held by Centaurus and (vii) borrowings under the Project Granite Facility and the repayment of the XRC Facility, in each case as if it had occurred on December 31, 2025. Does not reflect the deduction of debt issuance costs. Accordingly, amounts shown do not correspond directly to those reflected on our consolidated balance sheet as of December 31, 2025.</w:t>
      </w:r>
    </w:p>
    <w:p>
      <w:pPr>
        <w:spacing w:after="0" w:line="124" w:lineRule="exact"/>
        <w:rPr>
          <w:rFonts w:ascii="Times New Roman" w:cs="Times New Roman" w:eastAsia="Times New Roman" w:hAnsi="Times New Roman"/>
          <w:sz w:val="11"/>
          <w:szCs w:val="11"/>
          <w:color w:val="auto"/>
        </w:rPr>
      </w:pPr>
    </w:p>
    <w:p>
      <w:pPr>
        <w:ind w:left="1420" w:right="1219" w:hanging="267"/>
        <w:spacing w:after="0" w:line="272" w:lineRule="auto"/>
        <w:tabs>
          <w:tab w:leader="none" w:pos="14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further adjusted consolidated balance sheet data reflects the items described in footnote (1) above and gives effect to our receipt of estimated net proceeds from the sale of shares of Class A common stock that we are offering by this prospectus at the initial public offering price of $27.00 per share, after deducting the estimated underwriting discounts and commissions and estimated offering expenses payable by us.</w:t>
      </w:r>
    </w:p>
    <w:p>
      <w:pPr>
        <w:spacing w:after="0" w:line="121" w:lineRule="exact"/>
        <w:rPr>
          <w:rFonts w:ascii="Times New Roman" w:cs="Times New Roman" w:eastAsia="Times New Roman" w:hAnsi="Times New Roman"/>
          <w:sz w:val="11"/>
          <w:szCs w:val="11"/>
          <w:color w:val="auto"/>
        </w:rPr>
      </w:pPr>
    </w:p>
    <w:p>
      <w:pPr>
        <w:ind w:left="1420" w:right="1299" w:hanging="267"/>
        <w:spacing w:after="0" w:line="261" w:lineRule="auto"/>
        <w:tabs>
          <w:tab w:leader="none" w:pos="14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as further adjusted data discussed above is illustrative only and has been adjusted based on the actual initial public offering price and other terms of our initial public offering determined at pricing.</w:t>
      </w:r>
    </w:p>
    <w:p>
      <w:pPr>
        <w:ind w:left="1420" w:right="1199" w:hanging="267"/>
        <w:spacing w:after="0" w:line="266" w:lineRule="auto"/>
        <w:tabs>
          <w:tab w:leader="none" w:pos="14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April 14, 2026, the XRC Facility was paid off with the proceeds from the Project Granite Facility. As of April 29, 2026, we had an aggregate of $64.0 million of borrowings outstanding under the Credit Facility. Our Credit Facility has a total capacity of $180.0 million which consists of the term loan facility and letters of credit facility. See "Management's Discussion and Analysis of Financial Condition and Results of Operations—Liquidity and Capital Resources—Mercuria Credit Agreement and Letter of Credit Agreement" for a further description of our Credit Facility.</w:t>
      </w:r>
    </w:p>
    <w:p>
      <w:pPr>
        <w:spacing w:after="0" w:line="99" w:lineRule="exact"/>
        <w:rPr>
          <w:sz w:val="20"/>
          <w:szCs w:val="20"/>
          <w:color w:val="auto"/>
        </w:rPr>
      </w:pPr>
    </w:p>
    <w:p>
      <w:pPr>
        <w:ind w:left="1160" w:right="1199" w:firstLine="258"/>
        <w:spacing w:after="0" w:line="267" w:lineRule="auto"/>
        <w:rPr>
          <w:sz w:val="20"/>
          <w:szCs w:val="20"/>
          <w:color w:val="auto"/>
        </w:rPr>
      </w:pPr>
      <w:r>
        <w:rPr>
          <w:rFonts w:ascii="Times New Roman" w:cs="Times New Roman" w:eastAsia="Times New Roman" w:hAnsi="Times New Roman"/>
          <w:sz w:val="14"/>
          <w:szCs w:val="14"/>
          <w:color w:val="auto"/>
        </w:rPr>
        <w:t>The number of shares of Class A and Class B common stock to be issued and outstanding after this offering is based on 275,776,919 shares of Class A common stock an d 7,785,414 shares of Class B common stock outstanding as of April 29, 2026, after giving effect to the Reclassification, the Founder Share Exchange and the Preferred Stock Conversion. The number of shares of our Class A common stock to be outstanding after this offering does not include:</w:t>
      </w:r>
    </w:p>
    <w:p>
      <w:pPr>
        <w:sectPr>
          <w:pgSz w:w="11900" w:h="16838" w:orient="portrait"/>
          <w:cols w:equalWidth="0" w:num="1">
            <w:col w:w="9019"/>
          </w:cols>
          <w:pgMar w:left="1440" w:top="297" w:right="1440" w:bottom="0" w:gutter="0" w:footer="0" w:header="0"/>
        </w:sect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1199"/>
        <w:spacing w:after="0" w:line="268" w:lineRule="auto"/>
        <w:rPr>
          <w:sz w:val="20"/>
          <w:szCs w:val="20"/>
          <w:color w:val="auto"/>
        </w:rPr>
      </w:pPr>
      <w:r>
        <w:rPr>
          <w:rFonts w:ascii="Times New Roman" w:cs="Times New Roman" w:eastAsia="Times New Roman" w:hAnsi="Times New Roman"/>
          <w:sz w:val="14"/>
          <w:szCs w:val="14"/>
          <w:color w:val="auto"/>
        </w:rPr>
        <w:t>45,047,677 shares (or 32,407,298 shares, after giving effect to the Stock Split) of Clas s A common stock issuable upon exercise of stock options outstanding as of April 29 , 2026 under our 2019 Plan, with a weighted average exercise price of $1.75 per share (or $2.43 per share, after giving effect to the Stock Split); and</w:t>
      </w:r>
    </w:p>
    <w:p>
      <w:pPr>
        <w:spacing w:after="0" w:line="97" w:lineRule="exact"/>
        <w:rPr>
          <w:sz w:val="20"/>
          <w:szCs w:val="20"/>
          <w:color w:val="auto"/>
        </w:rPr>
      </w:pPr>
    </w:p>
    <w:p>
      <w:pPr>
        <w:sectPr>
          <w:pgSz w:w="11900" w:h="16838" w:orient="portrait"/>
          <w:cols w:equalWidth="0" w:num="2">
            <w:col w:w="1460" w:space="200"/>
            <w:col w:w="7359"/>
          </w:cols>
          <w:pgMar w:left="1440" w:top="297" w:right="1440" w:bottom="0" w:gutter="0" w:footer="0" w:header="0"/>
          <w:type w:val="continuous"/>
        </w:sectPr>
      </w:pPr>
    </w:p>
    <w:p>
      <w:pPr>
        <w:ind w:left="1660" w:right="1219" w:hanging="249"/>
        <w:spacing w:after="0" w:line="292" w:lineRule="auto"/>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40,778,984 shares of Class A common stock and Class B common stock reserved for future issuance under our equity compensation plans, consisting of:</w:t>
      </w:r>
    </w:p>
    <w:p>
      <w:pPr>
        <w:spacing w:after="0" w:line="80" w:lineRule="exact"/>
        <w:rPr>
          <w:rFonts w:ascii="Times New Roman" w:cs="Times New Roman" w:eastAsia="Times New Roman" w:hAnsi="Times New Roman"/>
          <w:sz w:val="14"/>
          <w:szCs w:val="14"/>
          <w:color w:val="auto"/>
        </w:rPr>
      </w:pPr>
    </w:p>
    <w:p>
      <w:pPr>
        <w:ind w:left="1920" w:right="1199" w:hanging="251"/>
        <w:spacing w:after="0" w:line="268" w:lineRule="auto"/>
        <w:tabs>
          <w:tab w:leader="none" w:pos="192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35,107,737 shares of Class A common stock and Class B common stock reserved for future issuance under the 2026 Plan, which became effective in connection with this offering, as well as any automatic increases in the number of shares of Class A common stock and Class B common stock reserved for future issuance under the 2026 Plan; and</w:t>
      </w:r>
    </w:p>
    <w:p>
      <w:pPr>
        <w:spacing w:after="0" w:line="97" w:lineRule="exact"/>
        <w:rPr>
          <w:rFonts w:ascii="Times New Roman" w:cs="Times New Roman" w:eastAsia="Times New Roman" w:hAnsi="Times New Roman"/>
          <w:sz w:val="14"/>
          <w:szCs w:val="14"/>
          <w:color w:val="auto"/>
        </w:rPr>
      </w:pPr>
    </w:p>
    <w:p>
      <w:pPr>
        <w:ind w:left="1920" w:right="1259" w:hanging="251"/>
        <w:spacing w:after="0" w:line="274" w:lineRule="auto"/>
        <w:tabs>
          <w:tab w:leader="none" w:pos="192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5,671,247 shares of Class A common stock reserved for future issuance under the ESPP, which became effective in connection with this offering, as well as any automatic increases in the number of shares of Class A common stock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42"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If you invest in our Class A common stock in this offering, your ownership interest will be diluted to the extent of the difference between the initial public offering price per share of our Class A common stock and the as further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as further adjusted net tangible book value per share of our common stock immediately after this offering.</w:t>
      </w:r>
    </w:p>
    <w:p>
      <w:pPr>
        <w:spacing w:after="0" w:line="101"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Net tangible book value (deficit) per share is determined by dividing our total tangible assets less our total liabilities by the number of shares of our common stock outstanding. Our historical net tangible book value (deficit) as of December 31, 2025 was $897.7 million, or $4.20 per share. Our adjusted net tangible book value as</w:t>
      </w:r>
    </w:p>
    <w:p>
      <w:pPr>
        <w:spacing w:after="0" w:line="2"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of December 31, 2025 was $917.6 million, or $ 4.30 per share, based on the total number of shares of our common stock outstanding as of December 31, 2025 after giving effect to the Stock Split, the Preferred Stock Conversion, the Founder Share Exchange, the Reclassification, the exercise in full of the warrants held by Centaurus, borrowings under the Project Granite Facility and repayment of the XRC Facility.</w:t>
      </w:r>
    </w:p>
    <w:p>
      <w:pPr>
        <w:spacing w:after="0" w:line="102" w:lineRule="exact"/>
        <w:rPr>
          <w:sz w:val="20"/>
          <w:szCs w:val="20"/>
          <w:color w:val="auto"/>
        </w:rPr>
      </w:pPr>
    </w:p>
    <w:p>
      <w:pPr>
        <w:jc w:val="center"/>
        <w:ind w:right="-120"/>
        <w:spacing w:after="0"/>
        <w:tabs>
          <w:tab w:leader="none" w:pos="120" w:val="left"/>
        </w:tabs>
        <w:rPr>
          <w:sz w:val="20"/>
          <w:szCs w:val="20"/>
          <w:color w:val="auto"/>
        </w:rPr>
      </w:pPr>
      <w:r>
        <w:rPr>
          <w:rFonts w:ascii="Times New Roman" w:cs="Times New Roman" w:eastAsia="Times New Roman" w:hAnsi="Times New Roman"/>
          <w:sz w:val="14"/>
          <w:szCs w:val="14"/>
          <w:color w:val="auto"/>
        </w:rPr>
        <w:t>After giving effect to the sale by us of</w:t>
        <w:tab/>
        <w:t>70,000,000 shares of our Class A common stock in this offering at the</w:t>
      </w:r>
    </w:p>
    <w:p>
      <w:pPr>
        <w:sectPr>
          <w:pgSz w:w="11900" w:h="16838" w:orient="portrait"/>
          <w:cols w:equalWidth="0" w:num="1">
            <w:col w:w="9019"/>
          </w:cols>
          <w:pgMar w:left="1440" w:top="297" w:right="1440" w:bottom="0" w:gutter="0" w:footer="0" w:header="0"/>
          <w:type w:val="continuous"/>
        </w:sectPr>
      </w:pPr>
    </w:p>
    <w:bookmarkStart w:id="70" w:name="page71"/>
    <w:bookmarkEnd w:id="70"/>
    <w:p>
      <w:pPr>
        <w:ind w:left="1160" w:right="1319"/>
        <w:spacing w:after="0" w:line="217" w:lineRule="auto"/>
        <w:rPr>
          <w:sz w:val="20"/>
          <w:szCs w:val="20"/>
          <w:color w:val="auto"/>
        </w:rPr>
      </w:pPr>
      <w:r>
        <w:rPr>
          <w:rFonts w:ascii="Times New Roman" w:cs="Times New Roman" w:eastAsia="Times New Roman" w:hAnsi="Times New Roman"/>
          <w:sz w:val="14"/>
          <w:szCs w:val="14"/>
          <w:color w:val="auto"/>
        </w:rPr>
        <w:t>initial public offering price of $27.00 per share, and after deducting underwriting discounts and commissions and estimated offering expenses payable by us, our as further adjusted net tangible book value to give effect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-154940</wp:posOffset>
            </wp:positionV>
            <wp:extent cx="716026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offering as of December 31, 2025 would have been $2.7 billion, or $9.47 per share. This represents an immediate increase in adjusted net tangible book value of $5.17 per share to our existing stockholders and an immediate dilution in as further adjusted net tangible book value of $17.53 per share to investors purchasing shares of our Class A common stock in this offering at the initial public offering price. The following table illustrates this dilution:</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Initial public offering price per share of Class A common stock </w:t>
            </w:r>
            <w:r>
              <w:rPr>
                <w:rFonts w:ascii="Times New Roman" w:cs="Times New Roman" w:eastAsia="Times New Roman" w:hAnsi="Times New Roman"/>
                <w:sz w:val="14"/>
                <w:szCs w:val="14"/>
                <w:color w:val="B4B4B4"/>
              </w:rPr>
              <w:t>..........................</w:t>
            </w:r>
          </w:p>
        </w:tc>
        <w:tc>
          <w:tcPr>
            <w:tcW w:w="4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8"/>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Historical net tangible book value (deficit) per share as of December 31, 2025 </w:t>
            </w:r>
            <w:r>
              <w:rPr>
                <w:rFonts w:ascii="Times New Roman" w:cs="Times New Roman" w:eastAsia="Times New Roman" w:hAnsi="Times New Roman"/>
                <w:sz w:val="14"/>
                <w:szCs w:val="14"/>
                <w:color w:val="B4B4B4"/>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Increase per share attributable to the adjustments described above</w:t>
            </w:r>
            <w:r>
              <w:rPr>
                <w:rFonts w:ascii="Times New Roman" w:cs="Times New Roman" w:eastAsia="Times New Roman" w:hAnsi="Times New Roman"/>
                <w:sz w:val="14"/>
                <w:szCs w:val="14"/>
                <w:color w:val="B4B4B4"/>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6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AsadjustednettangiblebookvaluepershareasofDecember31,2025</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60" w:type="dxa"/>
            <w:vAlign w:val="bottom"/>
            <w:shd w:val="clear" w:color="auto" w:fill="CCEEFF"/>
          </w:tcPr>
          <w:p>
            <w:pPr>
              <w:ind w:left="40"/>
              <w:spacing w:after="0" w:line="143" w:lineRule="exact"/>
              <w:rPr>
                <w:sz w:val="20"/>
                <w:szCs w:val="20"/>
                <w:color w:val="auto"/>
              </w:rPr>
            </w:pPr>
            <w:r>
              <w:rPr>
                <w:rFonts w:ascii="Times New Roman" w:cs="Times New Roman" w:eastAsia="Times New Roman" w:hAnsi="Times New Roman"/>
                <w:sz w:val="14"/>
                <w:szCs w:val="14"/>
                <w:color w:val="auto"/>
              </w:rPr>
              <w:t>Increase in adjusted net tangible book value per share attributable to investors</w:t>
            </w:r>
          </w:p>
        </w:tc>
        <w:tc>
          <w:tcPr>
            <w:tcW w:w="4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purchasing shares of Class A common stock in this offering </w:t>
            </w:r>
            <w:r>
              <w:rPr>
                <w:rFonts w:ascii="Times New Roman" w:cs="Times New Roman" w:eastAsia="Times New Roman" w:hAnsi="Times New Roman"/>
                <w:sz w:val="14"/>
                <w:szCs w:val="14"/>
                <w:color w:val="B4B4B4"/>
              </w:rPr>
              <w:t>............................</w:t>
            </w:r>
          </w:p>
        </w:tc>
        <w:tc>
          <w:tcPr>
            <w:tcW w:w="4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6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As further adjusted net tangible book value per share immediately after this</w:t>
            </w:r>
          </w:p>
        </w:tc>
        <w:tc>
          <w:tcPr>
            <w:tcW w:w="400" w:type="dxa"/>
            <w:vAlign w:val="bottom"/>
          </w:tcPr>
          <w:p>
            <w:pPr>
              <w:spacing w:after="0"/>
              <w:rPr>
                <w:sz w:val="10"/>
                <w:szCs w:val="10"/>
                <w:color w:val="auto"/>
              </w:rPr>
            </w:pPr>
          </w:p>
        </w:tc>
        <w:tc>
          <w:tcPr>
            <w:tcW w:w="640" w:type="dxa"/>
            <w:vAlign w:val="bottom"/>
            <w:gridSpan w:val="2"/>
            <w:vMerge w:val="restart"/>
          </w:tcPr>
          <w:p>
            <w:pPr>
              <w:spacing w:after="0"/>
              <w:rPr>
                <w:sz w:val="10"/>
                <w:szCs w:val="10"/>
                <w:color w:val="auto"/>
              </w:rPr>
            </w:pP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offering </w:t>
            </w:r>
            <w:r>
              <w:rPr>
                <w:rFonts w:ascii="Times New Roman" w:cs="Times New Roman" w:eastAsia="Times New Roman" w:hAnsi="Times New Roman"/>
                <w:sz w:val="14"/>
                <w:szCs w:val="14"/>
                <w:color w:val="B4B4B4"/>
              </w:rPr>
              <w:t>...............................................................................................................</w:t>
            </w:r>
          </w:p>
        </w:tc>
        <w:tc>
          <w:tcPr>
            <w:tcW w:w="4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660" w:type="dxa"/>
            <w:vAlign w:val="bottom"/>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Dilution in adjusted net tangible book value per share to investors in this</w:t>
            </w:r>
          </w:p>
        </w:tc>
        <w:tc>
          <w:tcPr>
            <w:tcW w:w="4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offering </w:t>
            </w:r>
            <w:r>
              <w:rPr>
                <w:rFonts w:ascii="Times New Roman" w:cs="Times New Roman" w:eastAsia="Times New Roman" w:hAnsi="Times New Roman"/>
                <w:sz w:val="14"/>
                <w:szCs w:val="14"/>
                <w:color w:val="B4B4B4"/>
              </w:rPr>
              <w:t>...............................................................................................................</w:t>
            </w:r>
          </w:p>
        </w:tc>
        <w:tc>
          <w:tcPr>
            <w:tcW w:w="4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following table presents, on an as adjusted basis as of December 31, 2025, after giving effect to (i) the</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Preferred Stock Conversion, (ii) the Reclassification, (iii) the Founder Share Exchange, (iv) the sale by us of shares</w:t>
      </w:r>
    </w:p>
    <w:p>
      <w:pPr>
        <w:spacing w:after="0" w:line="11"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of our Class A common stock in this offering at the initial public offering price of $27.00 per share, and (v) the exercise in full of the warrants held by Centaurus, the difference between the existing stockholders and the investors purchasing shares of our Class A common stock in this offering with respect to the number of shares of our Class A common stock purchased from us, the total consideration paid or to be paid to us, and the average price per share paid or to be paid to us, before deducting estimated underwriting discounts and commissions and estimated offering expenses payable by us: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202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4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4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0" w:type="dxa"/>
            <w:vAlign w:val="bottom"/>
          </w:tcPr>
          <w:p>
            <w:pPr>
              <w:spacing w:after="0"/>
              <w:rPr>
                <w:sz w:val="1"/>
                <w:szCs w:val="1"/>
                <w:color w:val="auto"/>
              </w:rPr>
            </w:pPr>
          </w:p>
        </w:tc>
      </w:tr>
      <w:tr>
        <w:trPr>
          <w:trHeight w:val="152"/>
        </w:trPr>
        <w:tc>
          <w:tcPr>
            <w:tcW w:w="20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jc w:val="right"/>
              <w:ind w:right="216"/>
              <w:spacing w:after="0" w:line="114" w:lineRule="exact"/>
              <w:rPr>
                <w:sz w:val="20"/>
                <w:szCs w:val="20"/>
                <w:color w:val="auto"/>
              </w:rPr>
            </w:pPr>
            <w:r>
              <w:rPr>
                <w:rFonts w:ascii="Times New Roman" w:cs="Times New Roman" w:eastAsia="Times New Roman" w:hAnsi="Times New Roman"/>
                <w:sz w:val="13"/>
                <w:szCs w:val="13"/>
                <w:color w:val="auto"/>
              </w:rPr>
              <w:t>Existing stockholders before this</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213,562,333</w:t>
            </w:r>
          </w:p>
        </w:tc>
        <w:tc>
          <w:tcPr>
            <w:tcW w:w="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75.31%</w:t>
            </w:r>
          </w:p>
        </w:tc>
        <w:tc>
          <w:tcPr>
            <w:tcW w:w="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$1,028,851,360</w:t>
            </w:r>
          </w:p>
        </w:tc>
        <w:tc>
          <w:tcPr>
            <w:tcW w:w="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offering </w:t>
            </w:r>
            <w:r>
              <w:rPr>
                <w:rFonts w:ascii="Times New Roman" w:cs="Times New Roman" w:eastAsia="Times New Roman" w:hAnsi="Times New Roman"/>
                <w:sz w:val="13"/>
                <w:szCs w:val="13"/>
                <w:color w:val="B4B4B4"/>
              </w:rPr>
              <w:t>...........................................</w:t>
            </w:r>
          </w:p>
        </w:tc>
        <w:tc>
          <w:tcPr>
            <w:tcW w:w="8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Investors participating in this offering</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70,000,000</w:t>
            </w: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24.69%</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$1,890,000,000</w:t>
            </w: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0" w:type="dxa"/>
            <w:vAlign w:val="bottom"/>
          </w:tcPr>
          <w:p>
            <w:pPr>
              <w:spacing w:after="0"/>
              <w:rPr>
                <w:sz w:val="1"/>
                <w:szCs w:val="1"/>
                <w:color w:val="auto"/>
              </w:rPr>
            </w:pPr>
          </w:p>
        </w:tc>
      </w:tr>
      <w:tr>
        <w:trPr>
          <w:trHeight w:val="174"/>
        </w:trPr>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b w:val="1"/>
                <w:bCs w:val="1"/>
                <w:color w:val="000000"/>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283,562,333</w:t>
            </w:r>
          </w:p>
        </w:tc>
        <w:tc>
          <w:tcPr>
            <w:tcW w:w="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$2,918,851,360</w:t>
            </w:r>
          </w:p>
        </w:tc>
        <w:tc>
          <w:tcPr>
            <w:tcW w:w="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total consideration paid by existing stockholders presented in the table above represents the aggregate cash consideration historically paid by such stockholders for their shares and differs from the additional paid-in capital, as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8" w:lineRule="auto"/>
        <w:rPr>
          <w:sz w:val="20"/>
          <w:szCs w:val="20"/>
          <w:color w:val="auto"/>
        </w:rPr>
      </w:pPr>
      <w:r>
        <w:rPr>
          <w:rFonts w:ascii="Times New Roman" w:cs="Times New Roman" w:eastAsia="Times New Roman" w:hAnsi="Times New Roman"/>
          <w:sz w:val="14"/>
          <w:szCs w:val="14"/>
          <w:color w:val="auto"/>
        </w:rPr>
        <w:t>adjusted, presented in the capitalization table by approximately $61.1 million , which difference is attributable to non-cash accounting entries (including the fair value increment recognized upon the Centaurus warrant exercise, treasury stock reclassifications, and other non-cash equity adjustments) that are reflected in additional paid-in capital under U.S. GAAP but do not constitute consideration paid by stockholders.</w:t>
      </w:r>
    </w:p>
    <w:p>
      <w:pPr>
        <w:spacing w:after="0" w:line="97"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If the underwriters exercise in full their option to purchase 10,500,000 additional shares of our Class A common stock in this offering, the as further adjusted net tangible book value (deficit) per share after this offering would be $10.04 per share and the dilution to new investors in this offering would be $ 16.96 per share. If the underwriters exercise such option in full, the number of shares held by new investors will increase to approximately 80,500,000 shares of our Class A common stock, or approximately 27.38% of the total number of shares of our common stock outstanding after this offering.</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total number of shares of Class A common stock and Class B common stock that will be outstanding immediately after this offering is based on 275,776,919 shares of our Class A common stock and 7,785,414 shares of our Class B common stock outstanding as of December 31, 2025, and after giving effect to the Preferred Stock Conversion, the Founder Share Exchange and the Reclassification, and excludes:</w:t>
      </w:r>
    </w:p>
    <w:p>
      <w:pPr>
        <w:sectPr>
          <w:pgSz w:w="11900" w:h="16838" w:orient="portrait"/>
          <w:cols w:equalWidth="0" w:num="1">
            <w:col w:w="9019"/>
          </w:cols>
          <w:pgMar w:left="1440" w:top="94" w:right="1440" w:bottom="665" w:gutter="0" w:footer="0" w:header="0"/>
        </w:sectPr>
      </w:pP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199"/>
        <w:spacing w:after="0" w:line="268" w:lineRule="auto"/>
        <w:rPr>
          <w:sz w:val="20"/>
          <w:szCs w:val="20"/>
          <w:color w:val="auto"/>
        </w:rPr>
      </w:pPr>
      <w:r>
        <w:rPr>
          <w:rFonts w:ascii="Times New Roman" w:cs="Times New Roman" w:eastAsia="Times New Roman" w:hAnsi="Times New Roman"/>
          <w:sz w:val="14"/>
          <w:szCs w:val="14"/>
          <w:color w:val="auto"/>
        </w:rPr>
        <w:t>45,047,677 shares (or 32,407,298 shares, after giving effect to the Stock Split) of Clas s A common stock issuable upon exercise of stock options outstanding as of April 29 , 2026 under our 2019 Plan, with a weighted average exercise price of $1.75 per share (or $2.43 per share, after giving effect to the Stock Split); and</w:t>
      </w:r>
    </w:p>
    <w:p>
      <w:pPr>
        <w:spacing w:after="0" w:line="97" w:lineRule="exact"/>
        <w:rPr>
          <w:sz w:val="20"/>
          <w:szCs w:val="20"/>
          <w:color w:val="auto"/>
        </w:rPr>
      </w:pPr>
    </w:p>
    <w:p>
      <w:pPr>
        <w:sectPr>
          <w:pgSz w:w="11900" w:h="16838" w:orient="portrait"/>
          <w:cols w:equalWidth="0" w:num="2">
            <w:col w:w="1460" w:space="200"/>
            <w:col w:w="7359"/>
          </w:cols>
          <w:pgMar w:left="1440" w:top="94" w:right="1440" w:bottom="665" w:gutter="0" w:footer="0" w:header="0"/>
          <w:type w:val="continuous"/>
        </w:sectPr>
      </w:pPr>
    </w:p>
    <w:p>
      <w:pPr>
        <w:ind w:left="1660" w:right="1219" w:hanging="249"/>
        <w:spacing w:after="0" w:line="292" w:lineRule="auto"/>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40,778,984 shares of Class A common stock and Class B common stock reserved for future issuance under our equity compensation plans, consisting of:</w:t>
      </w:r>
    </w:p>
    <w:p>
      <w:pPr>
        <w:spacing w:after="0" w:line="80" w:lineRule="exact"/>
        <w:rPr>
          <w:rFonts w:ascii="Times New Roman" w:cs="Times New Roman" w:eastAsia="Times New Roman" w:hAnsi="Times New Roman"/>
          <w:sz w:val="14"/>
          <w:szCs w:val="14"/>
          <w:color w:val="auto"/>
        </w:rPr>
      </w:pPr>
    </w:p>
    <w:p>
      <w:pPr>
        <w:ind w:left="1920" w:right="1199" w:hanging="251"/>
        <w:spacing w:after="0" w:line="268" w:lineRule="auto"/>
        <w:tabs>
          <w:tab w:leader="none" w:pos="19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35,107,737 shares of Class A common stock and Class B common stock reserved for future issuance under the 2026 Plan, which became effective in connection with this offering, as well as any automatic increases in the number of shares of Class A common stock and Class B common stock reserved for future issuance under the 2026 Plan;</w:t>
      </w:r>
    </w:p>
    <w:p>
      <w:pPr>
        <w:spacing w:after="0" w:line="97" w:lineRule="exact"/>
        <w:rPr>
          <w:rFonts w:ascii="Times New Roman" w:cs="Times New Roman" w:eastAsia="Times New Roman" w:hAnsi="Times New Roman"/>
          <w:sz w:val="14"/>
          <w:szCs w:val="14"/>
          <w:color w:val="auto"/>
        </w:rPr>
      </w:pPr>
    </w:p>
    <w:p>
      <w:pPr>
        <w:ind w:left="1920" w:right="1259" w:hanging="251"/>
        <w:spacing w:after="0" w:line="274" w:lineRule="auto"/>
        <w:tabs>
          <w:tab w:leader="none" w:pos="19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5,671,247 shares of Class A common stock reserved for future issuance under the ESPP, which became effective in connection with this offering, as well as any automatic increases in the number of shares of Class A common stock reserved for future issuance under the ESPP.</w:t>
      </w:r>
    </w:p>
    <w:p>
      <w:pPr>
        <w:spacing w:after="0" w:line="9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The dilution information discussed above is illustrative only and may change based on the actual initial public offering price and other terms of this offering. To the extent any options are granted and exercised in the future, there may be additional economic dilution to new investors.</w:t>
      </w:r>
    </w:p>
    <w:p>
      <w:pPr>
        <w:spacing w:after="0" w:line="93"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as Class A common stock, or other securities that are convertible into our Class A common stock, such as convertible debt securities, the issuance of these securities could result in further dilution to our stockholders.</w:t>
      </w:r>
    </w:p>
    <w:p>
      <w:pPr>
        <w:sectPr>
          <w:pgSz w:w="11900" w:h="16838" w:orient="portrait"/>
          <w:cols w:equalWidth="0" w:num="1">
            <w:col w:w="9019"/>
          </w:cols>
          <w:pgMar w:left="1440" w:top="94" w:right="1440" w:bottom="665" w:gutter="0" w:footer="0" w:header="0"/>
          <w:type w:val="continuous"/>
        </w:sectPr>
      </w:pPr>
    </w:p>
    <w:bookmarkStart w:id="71" w:name="page72"/>
    <w:bookmarkEnd w:id="71"/>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2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Fervo’s financial condition and results of operations should be read with our audited consolidated financial statements and notes thereto included elsewhere in this prospectus. Certain of the information contained in this discussion and analysis or set forth elsewhere in this prospectus, including information with respect to plans and strategy for our business, includes forward-looking statements that involve risks and uncertainties. As a result of many factors, including those factors set forth in the section “Risk Factors,” our actual results could differ materially from the results described in or implied by the forward- looking statements contained in the following discussion and analysis. Refer to the section entitled “Risk Factors” to gain an understanding of the important factors that could cause actual results to differ materially from our forward-looking statements. For more information, see the section entitled “Cautionary Note Regarding Forward-Looking Statements.”</w:t>
      </w:r>
    </w:p>
    <w:p>
      <w:pPr>
        <w:spacing w:after="0" w:line="103" w:lineRule="exact"/>
        <w:rPr>
          <w:sz w:val="20"/>
          <w:szCs w:val="20"/>
          <w:color w:val="auto"/>
        </w:rPr>
      </w:pPr>
    </w:p>
    <w:p>
      <w:pPr>
        <w:ind w:left="1160" w:right="151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the “Company,” “we,” “us,” “Fervo,” or “our” refer to the business of Fervo Energy Company.</w:t>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are a geothermal energy developer that builds, owns, and operates geothermal power facilities. As the pioneer of EGS, we are commercializing a new category of firm, 24/7 power that is scalable, rapidly deployable, and geographically flexible. We apply proven technologies, such as horizontal drilling, multistage hydraulic fracturing, and enhanced subsurface monitoring, to design and control subsurface flow pathways, enabling predictable heat recovery without reliance on rare natural fracture networks. This standardized, repeatable approach addresses the scalability and development risks that have historically constrained traditional geothermal and positions EGS to deliver reliable, cost-competitive power with a clear path to learning curve-driven cost declines.</w:t>
      </w:r>
    </w:p>
    <w:p>
      <w:pPr>
        <w:spacing w:after="0" w:line="10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are advancing from demonstration to utility-scale commercialization; we expect to begin delivering first power from our 500-megawatt Cape Station project by late 2026, and to reach approximately 100 megawatts of operating capacity by early 2027. Our execution track record and standardized development model, combined with meaningful commercial traction, differentiate us from alternatives still facing technology risk, prolonged timelines, permitting uncertainty, and supply chain constraints. Across our full portfolio, we have signed 658 megawatts of binding PPAs with credit-worthy utility and corporate buyers, including Southern California Edison, Google / NV Energy and Shell. These PPAs represent approximately $7.2 billion in potential revenue backlog, and we are actively engaging energy buyers for additional capacity. Building on this traction, we have entered into a 3-gigawatt GFA, creating a repeatable commercial model that we believe can accelerate deployment and position Fervo to meet growing demand from hyperscale customers. We believe this momentum, combined with our scalable technology and development playbook, positions us to help close the nation’s capacity gap with dependable, around-the-clock clean power.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42"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We generate revenue through the provision of reliable and cost-competitive firm power to our customers. By leveraging proven oil and gas technology deployed for successful wellfield development in the shale industry, we are transforming geothermal energy into a scalable, reliable, and cost-competitive power solution to meet the U.S.’s growing electricity demand.</w:t>
      </w:r>
    </w:p>
    <w:p>
      <w:pPr>
        <w:spacing w:after="0" w:line="97"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We intend to generate most of our revenue by entering into PPAs with utilities, hyperscalers and other market participants, which allow us to sell electricity under long-term contracts at agreed-upon prices, thereby creating a stable and predictable income stream for our business. Our PPAs customarily have initial contract terms that average 15 years , providing us with significant cash flow visibility over an extended period. Additionally, our PPAs are generally structured with fixed or indexed pricing, substantially reducing exposure to fluctuations in electricity market prices over the contract term. We believe the long-term nature of our PPA portfolio enhances the resilience of our business model and provides significant cash flow visibility for investors and stakeholders.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Additionally, we believe we qualify for federal tax credits, including certain investment and production tax credits available under the Internal Revenue Code, which provide incremental value uplift to our project economics and financing strategy. We intend to monetize tax credits primarily through partnerships with investors and through the sale and transfer of tax credits to buyers, which we believe will provide an efficient source of liquidity to fund our development and construction activities. For example, on April 10, 2026, we entered into an agreement with Liberty Mutual Insurance Company to sell and transfer tax credits generated at Cape Station Phase I. This monetization supports capital deployment for our utility-scale geothermal projects such as Cape Station, where tax credits enhance project economics and investor confidence.</w:t>
      </w:r>
    </w:p>
    <w:p>
      <w:pPr>
        <w:spacing w:after="0" w:line="103" w:lineRule="exact"/>
        <w:rPr>
          <w:sz w:val="20"/>
          <w:szCs w:val="20"/>
          <w:color w:val="auto"/>
        </w:rPr>
      </w:pPr>
    </w:p>
    <w:p>
      <w:pPr>
        <w:jc w:val="center"/>
        <w:ind w:right="-40"/>
        <w:spacing w:after="0"/>
        <w:tabs>
          <w:tab w:leader="none" w:pos="100" w:val="left"/>
          <w:tab w:leader="none" w:pos="180" w:val="left"/>
        </w:tabs>
        <w:rPr>
          <w:sz w:val="20"/>
          <w:szCs w:val="20"/>
          <w:color w:val="auto"/>
        </w:rPr>
      </w:pPr>
      <w:r>
        <w:rPr>
          <w:rFonts w:ascii="Times New Roman" w:cs="Times New Roman" w:eastAsia="Times New Roman" w:hAnsi="Times New Roman"/>
          <w:sz w:val="14"/>
          <w:szCs w:val="14"/>
          <w:color w:val="auto"/>
        </w:rPr>
        <w:t>As of December 31, 2025</w:t>
        <w:tab/>
        <w:t>, we have entered into</w:t>
        <w:tab/>
        <w:t>658 megawatts of PPAs with utilities, hyperscalers, and</w:t>
      </w:r>
    </w:p>
    <w:p>
      <w:pPr>
        <w:sectPr>
          <w:pgSz w:w="11900" w:h="16838" w:orient="portrait"/>
          <w:cols w:equalWidth="0" w:num="1">
            <w:col w:w="9019"/>
          </w:cols>
          <w:pgMar w:left="1440" w:top="1440" w:right="1440" w:bottom="0" w:gutter="0" w:footer="0" w:header="0"/>
        </w:sectPr>
      </w:pPr>
    </w:p>
    <w:bookmarkStart w:id="72" w:name="page73"/>
    <w:bookmarkEnd w:id="72"/>
    <w:p>
      <w:pPr>
        <w:spacing w:after="0" w:line="23" w:lineRule="exact"/>
        <w:rPr>
          <w:sz w:val="20"/>
          <w:szCs w:val="20"/>
          <w:color w:val="auto"/>
        </w:rPr>
      </w:pPr>
    </w:p>
    <w:p>
      <w:pPr>
        <w:ind w:left="1160" w:right="1319"/>
        <w:spacing w:after="0" w:line="201" w:lineRule="auto"/>
        <w:rPr>
          <w:sz w:val="20"/>
          <w:szCs w:val="20"/>
          <w:color w:val="auto"/>
        </w:rPr>
      </w:pPr>
      <w:r>
        <w:rPr>
          <w:rFonts w:ascii="Times New Roman" w:cs="Times New Roman" w:eastAsia="Times New Roman" w:hAnsi="Times New Roman"/>
          <w:sz w:val="14"/>
          <w:szCs w:val="14"/>
          <w:color w:val="auto"/>
        </w:rPr>
        <w:t>community choice aggregators. As we scale our EGS operations, we intend to continue entering into new PPAs to underpin future growth and reinforce our leadership in sustainable baseload power generation. Beyond our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contracted backlog, we have also entered into a 3-gigawatt framework agreement with Google to advance and structure potential power offtake opportunities for current and planned data centers in both grid-connected and alternative energy solutions. The GFA establishes a framework under which we are required to propose projects totaling at least one gigawatt of capacity within two years, with Google retaining discretion to accept or decline each proposal. While the GFA does not constitute contracted offtake, we believe the agreed-upon pricing parameters and priority geographies position us to potentially accelerate the development of up to one gigawatt of geothermal power capacity. For more information, see “Business — Google Geothermal Framework Agreement,” and “Risk Factors —The GFA is a non-binding agreement, and does not obligate Google to purchase power from us.”</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Factors Affecting Our Business and Results of Operations</w:t>
      </w:r>
    </w:p>
    <w:p>
      <w:pPr>
        <w:spacing w:after="0" w:line="142" w:lineRule="exact"/>
        <w:rPr>
          <w:sz w:val="20"/>
          <w:szCs w:val="20"/>
          <w:color w:val="auto"/>
        </w:rPr>
      </w:pPr>
    </w:p>
    <w:p>
      <w:pPr>
        <w:jc w:val="both"/>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growth and future success of our business depends on many factors. While each of these factors presents significant opportunities for our business, they also pose important challenges that we must successfully address in order to sustain our growth, improve our results of operations and achieve and maintain our long-term profitability.</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commence and expand commercial operations</w:t>
      </w:r>
    </w:p>
    <w:p>
      <w:pPr>
        <w:spacing w:after="0" w:line="144"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success of our business model is highly dependent on our ability to commence and scale commercial operations at our Cape Station site and future locations in a capital-efficient and timely manner. Our ability to be profitable and generate positive operating cash flows is primarily dependent on our ability to generate revenues through the sale of electricity pursuant to our PPAs. Through monetization of our tax credits and our other assets, including any intellectual property, data, or advisory arrangements that may be pursued in the ordinary course, we expect to further improve profitability.</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ability to sell electricity depends on our ability to successfully commence and maintain production under our PPAs. We are currently targeting a COD of approximately 100 megawatts at our Cape Station GeoCluster by early 2027 . However, there is no guarantee that we will achieve such CODs within those timeframes or at all. Failure to drill and complete wells to target length and temperature, commission balance-of-plant systems, and interconnect to the grid, among other things, could result in delays in commencing production or expanding capacity. For more information, see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—Risks Related to Our Business — If the energy production by or availability of our power plants is less than expected, they may not be able to satisfy minimum production or availability requirement obligations under our PPAs.”</w:t>
      </w:r>
    </w:p>
    <w:p>
      <w:pPr>
        <w:spacing w:after="0" w:line="103" w:lineRule="exact"/>
        <w:rPr>
          <w:sz w:val="20"/>
          <w:szCs w:val="20"/>
          <w:color w:val="auto"/>
        </w:rPr>
      </w:pPr>
    </w:p>
    <w:p>
      <w:pPr>
        <w:ind w:left="1160" w:right="1159" w:firstLine="258"/>
        <w:spacing w:after="0" w:line="175" w:lineRule="exact"/>
        <w:rPr>
          <w:sz w:val="20"/>
          <w:szCs w:val="20"/>
          <w:color w:val="auto"/>
        </w:rPr>
      </w:pPr>
      <w:r>
        <w:rPr>
          <w:rFonts w:ascii="Times New Roman" w:cs="Times New Roman" w:eastAsia="Times New Roman" w:hAnsi="Times New Roman"/>
          <w:sz w:val="14"/>
          <w:szCs w:val="14"/>
          <w:color w:val="auto"/>
        </w:rPr>
        <w:t>Commencement and expansion of our commercial operations are further dependent on securing and maintaining permits, rights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way, land access, water rights, transmission interconnection, and approvals from federal, state, and local authorities, and on our ability to satisfy ongoing operational compliance obligations. Any delay in obtaining or maintaining such permits or approvals, or the imposition of additional requirements or legal challenges, could postpone commissioning timelines, reduce capacity factors, or increase costs.</w:t>
      </w:r>
    </w:p>
    <w:p>
      <w:pPr>
        <w:spacing w:after="0" w:line="116"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successful development of our project pipeline depends on our ability to obtain sufficient interconnection and transmission capacity to support delivery obligations under our PPAs. For example, for Cape Station Phase II, we currently have approximately 290 megawatts of interconnection and transmission rights. This capacity is sufficient to meet the obligations under our original PPAs with Southern California Edison (SCE) and Clean Power Alliance (CPA), but is insufficient to support the full 384 megawatts of combined contracted capacity with the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subsequent expansions of the SCE and CPA PPAs. If we are unable to secure additional interconnection and transmission capacity or alternative delivery arrangements on a timely basis or at all, our original PPAs would remain in effect; however, we may be unable to deliver the additional megawatts of contracted capacity, which could result in reduced revenues, payment of liquidated damages, contract modifications or terminations, or other adverse effects on our business and financial condition.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expect that, as we achieve COD at Cape Station and progressively ramp up production, our revenue</w:t>
      </w:r>
    </w:p>
    <w:p>
      <w:pPr>
        <w:spacing w:after="0" w:line="25" w:lineRule="exact"/>
        <w:rPr>
          <w:sz w:val="20"/>
          <w:szCs w:val="20"/>
          <w:color w:val="auto"/>
        </w:rPr>
      </w:pPr>
    </w:p>
    <w:p>
      <w:pPr>
        <w:ind w:left="1160" w:right="1259"/>
        <w:spacing w:after="0" w:line="172" w:lineRule="exact"/>
        <w:rPr>
          <w:sz w:val="20"/>
          <w:szCs w:val="20"/>
          <w:color w:val="auto"/>
        </w:rPr>
      </w:pPr>
      <w:r>
        <w:rPr>
          <w:rFonts w:ascii="Times New Roman" w:cs="Times New Roman" w:eastAsia="Times New Roman" w:hAnsi="Times New Roman"/>
          <w:sz w:val="14"/>
          <w:szCs w:val="14"/>
          <w:color w:val="auto"/>
        </w:rPr>
        <w:t>contribution from our PPAs will increase, and our cost structure will benefit from wellfield optimization, learning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curve efficiencies, and disciplined project execution. We also expect to benefit from the operational resiliency afforded by utilizing multiple ORC turbine units capable of operating independently, enabling scheduled maintenance or unplanned outages on a single unit to be isolated without requiring a full plant shutdown and supporting higher availability over time. We further expect that expanding our installed capacity in a staged and capital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efficient manner, aligned with contracted offtake and available interconnection or co-location opportunities, will enhance cash generation through a combination of electricity sales, tax credit monetization, and select commercialization of our intellectual property and data.</w:t>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capitalize on the increased surge in national power demand</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Our revenues depend in large part upon our PPAs with third-party off-takers. We have executed 658 megawatts of binding PPAs with credit-worthy utility and corporate energy buyers, including Southern California Edison, Google / NV Energy, and Shell . These contracts collectively represent over $7.2 billion in potential revenue backlog. We are also in active discussion with offtakers for additional capacity. In addition to those contracts, we have entered into a 3-gigawatt GFA with Google that we believe establishes a repeatable commercial model to accelerate deployment and capitalize on rapidly expanding demand from hyperscale customers.</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Our growth and ability to renew and enter into additional long-term PPAs is dependent on continued power demand from utilities, corporate energy buyers and hyperscalers. Recently, demand has been driven by the rapid increase in AI data center development and accelerating electrification across transportation, buildings, and industry, which has contributed to record power consumption and substantial new market opportunities for energy suppliers. At the same time as hyperscale data centers seek gigawatt-level connections to power their AI workloads, utilities and generators have seen unprecedented requests for electricity supply . The Pew Research Center reports U.S. data centers accounted for over 4.0% of national electricity use in 2024, with forecasts projecting demand to double or triple by the end of the decade as AI models grow in size and complexity. In the short-term, we expect that the heightened demand for reliable, large-scale generation will continue to support our engagement of long-term contracts to supply power.</w:t>
      </w:r>
    </w:p>
    <w:p>
      <w:pPr>
        <w:spacing w:after="0" w:line="27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However, actual demand is subject to material uncertainty due to factors outside of our control, such as technology advances, energy efficiency gains, and cyclical changes in potential customer investment patterns. During periods of elevated wholesale prices, we may secure attractive PPA pricing and terms; however, when prices decline or competition intensifies, negotiating advantageous PPAs can become more challenging. For projects where prices are already locked in under long-term PPAs, typically for 15 years, we are more insulated from these changes.</w:t>
      </w:r>
    </w:p>
    <w:p>
      <w:pPr>
        <w:sectPr>
          <w:pgSz w:w="11900" w:h="16861" w:orient="portrait"/>
          <w:cols w:equalWidth="0" w:num="1">
            <w:col w:w="9019"/>
          </w:cols>
          <w:pgMar w:left="1440" w:top="94" w:right="1440" w:bottom="0" w:gutter="0" w:footer="0" w:header="0"/>
        </w:sectPr>
      </w:pPr>
    </w:p>
    <w:bookmarkStart w:id="73" w:name="page74"/>
    <w:bookmarkEnd w:id="73"/>
    <w:p>
      <w:pPr>
        <w:spacing w:after="0" w:line="83" w:lineRule="exact"/>
        <w:rPr>
          <w:sz w:val="20"/>
          <w:szCs w:val="20"/>
          <w:color w:val="auto"/>
        </w:rPr>
      </w:pPr>
    </w:p>
    <w:p>
      <w:pPr>
        <w:ind w:left="1160" w:right="1479"/>
        <w:spacing w:after="0" w:line="241" w:lineRule="auto"/>
        <w:rPr>
          <w:sz w:val="20"/>
          <w:szCs w:val="20"/>
          <w:color w:val="auto"/>
        </w:rPr>
      </w:pPr>
      <w:r>
        <w:rPr>
          <w:rFonts w:ascii="Times New Roman" w:cs="Times New Roman" w:eastAsia="Times New Roman" w:hAnsi="Times New Roman"/>
          <w:sz w:val="14"/>
          <w:szCs w:val="14"/>
          <w:color w:val="auto"/>
        </w:rPr>
        <w:t>This volatility complicates financial forecasting and capital planning for standardized GeoBlocks across our GeoClusters and could reduce revenue visibility. In addition, if energy buyers prioritize lowest cost intermittent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-175260</wp:posOffset>
            </wp:positionV>
            <wp:extent cx="716026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 xml:space="preserve">options or defer procurement due to market uncertainty, our ability to execute programmatic offtake could be impacted. In response, our strategy emphasizes flexibility, resilience, and ongoing assessment of portfolio alignment with anticipated customer needs. Sustained growth will depend on our ability to adapt to evolving electricity usage patterns and maintain disciplined capital allocation in the face of both opportunity and risk. Additionally, over time, we expect the cost of our GeoBlocks to decrease as we accelerate our learning and scale our business, which we believe will make us an attractive source of energy even during periods of decreased demand or heightened competition. For more information, see “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xml:space="preserve"> —Risks Related to Our Business— Expectations regarding load growth may not materialize, and our business prospects could be harmed if geothermal energy is not widely adopted or sufficient demand for geothermal systems does not develop or takes longer to develop than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In the short term, we expect that the current surge in electricity demand, particularly from AI-related data center development, will continue. Assuming timely execution of our development plans, we anticipate our revenue will increase on an absolute basis in response to such demand growth. Over the long term, we expect aggregate electricity demand to moderate and ultimately level off from recent growth rates while remaining significantly higher-than-expected current levels, and we anticipate our revenue will continue to expand as we are able to bring additional power supply to market.</w:t>
      </w:r>
    </w:p>
    <w:p>
      <w:pPr>
        <w:spacing w:after="0" w:line="97" w:lineRule="exact"/>
        <w:rPr>
          <w:sz w:val="20"/>
          <w:szCs w:val="20"/>
          <w:color w:val="auto"/>
        </w:rPr>
      </w:pPr>
    </w:p>
    <w:p>
      <w:pPr>
        <w:ind w:left="1160" w:right="1179" w:firstLine="258"/>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manage our supply chain and operating expenses as a result of inflation and high development costs</w:t>
      </w:r>
    </w:p>
    <w:p>
      <w:pPr>
        <w:spacing w:after="0" w:line="77"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As a capital-intensive business that is commercializing enhanced geothermal systems to deliver clean, firm power, our success is highly dependent on our ability to manage inflationary pressures and development and operating costs. As we scale our standardized GeoBlock power plants and associated wellfield development within our GeoClusters, we have been, and expect to continue to be, exposed to inflationary pressures and cost escalation across our supply chain, including drilling and completions services, steel casing and wellheads, stimulation consumables, turbines and heat exchangers for our ORC units, power electronics, construction labor, logistics, and interconnection-related equipment and services. These factors, alongside higher development, labor, and overhead costs, can increase operating expenses and extend development timelines.</w:t>
      </w:r>
    </w:p>
    <w:p>
      <w:pPr>
        <w:spacing w:after="0" w:line="10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success also depends on timely access to critical equipment and services, including turbines, generators, heat exchangers, drilling rigs, tubulars, completion equipment, and power electronics. While the procurement of eight 50-megawatt ORC turbines for Cape Station Phase II locks in a significant portion of our near-term surface facilities scope, delays or cost escalations in other long lead items or drilling services could impact our schedule and capital budget. In addition, the imposition of tariffs, trade restrictions, or inflationary pressures on steel, specialty alloys, power equipment, or other supplied components could have a material adverse effect on our operations and unit economics.</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continue to work with our commercial and supply chain partners to mitigate inflation and cost escalation through multiyear procurement, standardized equipment specifications, and sustained operations within multi-gigawatt GeoClusters to capture economies of scale. Management has evaluated the potential impact of supply chain and raw materials factors on our business and believes that our modular, standardized plant design and a phased wellfield development approach can mitigate schedule risk and soften cost impacts over time; however, there can be no assurance that such measures will fully offset macroeconomic or supply chain pressures.</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If the costs of power-generation equipment, drilling and completion services, steel and other raw materials, or balance-of-plant equipment increase, we may be unable to fully recover those increases from customers under our existing contracts. Where our commercial arrangements include pricing mechanisms or escalators, higher input costs may be reflected in delivered power prices, but there is no assurance these provisions will fully offset inflationary or development cost pressures, which could negatively affect our margins and results of operations.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expect that as we scale our GeoBlocks and GeoClusters and realize learning curve efficiencies and economies of scale, we will improve our ability to manage operating expenses. Over the long term, we believe these efficiencies will support improved profitability and margin expansion of our business.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enhance our productivity and improve our cost structure through technological innovation</w:t>
      </w:r>
    </w:p>
    <w:p>
      <w:pPr>
        <w:spacing w:after="0" w:line="144"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Our operating performance and cost competitiveness will depend on our ability to increase productivity and lower costs over time. Achieving these outcomes will require continued technology development, standardization, and integration for which magnitude and timing of any benefits are uncertain.</w:t>
      </w:r>
    </w:p>
    <w:p>
      <w:pPr>
        <w:spacing w:after="0" w:line="9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expect that the continued development of additional wells at Cape Station and other sites will yield further operational learnings and technology enhancements which, over time, will support higher net generation per well and higher project returns. With our procurement of eight 50-megawatt ORC turbines for a 400-megawatt Cape Phase II deployment at Cape Station, we have established a standardized power plant design that we expect to use for years to come. We believe that this standardization will allow us to achieve economies of scale in our power generation supply chain by fixing the nameplate generating capacity of our surface facilities and sizing our wellfield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74" w:lineRule="auto"/>
        <w:rPr>
          <w:sz w:val="20"/>
          <w:szCs w:val="20"/>
          <w:color w:val="auto"/>
        </w:rPr>
      </w:pPr>
      <w:r>
        <w:rPr>
          <w:rFonts w:ascii="Times New Roman" w:cs="Times New Roman" w:eastAsia="Times New Roman" w:hAnsi="Times New Roman"/>
          <w:sz w:val="14"/>
          <w:szCs w:val="14"/>
          <w:color w:val="auto"/>
        </w:rPr>
        <w:t>accordingly, rather than designing bespoke power generation systems sized to fit the initial subsurface productivity at any single site. By decoupling surface plant design from subsurface variability and executing repeated well designs, we expect to benefit from parallel-tracked iterative improvement that incrementally improves well</w:t>
      </w:r>
    </w:p>
    <w:p>
      <w:pPr>
        <w:sectPr>
          <w:pgSz w:w="11900" w:h="16921" w:orient="portrait"/>
          <w:cols w:equalWidth="0" w:num="1">
            <w:col w:w="9019"/>
          </w:cols>
          <w:pgMar w:left="1440" w:top="94" w:right="1440" w:bottom="0" w:gutter="0" w:footer="0" w:header="0"/>
        </w:sectPr>
      </w:pPr>
    </w:p>
    <w:bookmarkStart w:id="74" w:name="page75"/>
    <w:bookmarkEnd w:id="74"/>
    <w:p>
      <w:pPr>
        <w:ind w:left="1160"/>
        <w:spacing w:after="0"/>
        <w:rPr>
          <w:sz w:val="20"/>
          <w:szCs w:val="20"/>
          <w:color w:val="auto"/>
        </w:rPr>
      </w:pPr>
      <w:r>
        <w:rPr>
          <w:rFonts w:ascii="Times New Roman" w:cs="Times New Roman" w:eastAsia="Times New Roman" w:hAnsi="Times New Roman"/>
          <w:sz w:val="14"/>
          <w:szCs w:val="14"/>
          <w:color w:val="auto"/>
        </w:rPr>
        <w:t>performance while reducing facilities cost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6026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160" w:right="1179" w:firstLine="258"/>
        <w:spacing w:after="0" w:line="174" w:lineRule="exact"/>
        <w:rPr>
          <w:sz w:val="20"/>
          <w:szCs w:val="20"/>
          <w:color w:val="auto"/>
        </w:rPr>
      </w:pPr>
      <w:r>
        <w:rPr>
          <w:rFonts w:ascii="Times New Roman" w:cs="Times New Roman" w:eastAsia="Times New Roman" w:hAnsi="Times New Roman"/>
          <w:sz w:val="14"/>
          <w:szCs w:val="14"/>
          <w:color w:val="auto"/>
        </w:rPr>
        <w:t>Our ability to increase energy output and reduce cost per megawatt-hour depends on consistently advancing and integrating our technology stack across subsurface, surface, and digital operations. We apply horizontal drilling, multistage stimulation, and engineered reservoir design to expand heat transfer surface area and drive higher gross power per well, while standardizing power conversion in 50-megawatt, air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cooled ORC GeoBlocks to compress cycle times and accelerate learning curves. As we scale, we leverage high-fidelity downhole fiber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optic data, proprietary computational models, and AI-enabled analytics to optimize well placement, drilling and completions design and execution, and plant operations to increase capacity factor, reduce downtime, and improve thermal sweep over the life of each reservoir. Realizing these efficiency gains requires continued progress along drilling and completions learning curves, reliable access to specialized equipment and services, and effective integration of digital tools with field execution.</w:t>
      </w:r>
    </w:p>
    <w:p>
      <w:pPr>
        <w:spacing w:after="0" w:line="117"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Our recent development progression illustrates these learning effects. From Project Red to Cape Station, we advanced from approximately 3,000-foot lateral length wells targeting 365°F rock to approximately 5,000-foot lateral length wells targeting 400°F rock. In June 2025, we drilled our deepest well to date, a vertical observation well that has a total depth of 15,774 feet that is projected to reach a bottomhole temperature of 550 °F after full</w:t>
      </w:r>
    </w:p>
    <w:p>
      <w:pPr>
        <w:spacing w:after="0" w:line="1"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thermal equilibration. In March 2026, we also finished drilling the first well of our next major well design, consisting of a well drilled with an approximately 7,500 foot lateral length targeting 425°F rock. We believe these subsurface improvements, paired with a standardized power plant design, will support higher individual well output, improved field productivity, and more predictable cost and schedule execution across modules. We ultimately aim to increase production per well by accessing higher-temperature resources and extending lateral lengths, but there is no certainty that this can be achieved. These expectations are subject to the risks inherent in subsurface development, including geologic heterogeneity, drilling and completion performance, reservoir thermal drawdown, induced seismicity management, and water sourcing and disposal constraints.</w:t>
      </w:r>
    </w:p>
    <w:p>
      <w:pPr>
        <w:spacing w:after="0" w:line="105" w:lineRule="exact"/>
        <w:rPr>
          <w:sz w:val="20"/>
          <w:szCs w:val="20"/>
          <w:color w:val="auto"/>
        </w:rPr>
      </w:pPr>
    </w:p>
    <w:p>
      <w:pPr>
        <w:ind w:left="1160" w:right="1199" w:firstLine="258"/>
        <w:spacing w:after="0" w:line="178" w:lineRule="exact"/>
        <w:rPr>
          <w:sz w:val="20"/>
          <w:szCs w:val="20"/>
          <w:color w:val="auto"/>
        </w:rPr>
      </w:pPr>
      <w:r>
        <w:rPr>
          <w:rFonts w:ascii="Times New Roman" w:cs="Times New Roman" w:eastAsia="Times New Roman" w:hAnsi="Times New Roman"/>
          <w:sz w:val="14"/>
          <w:szCs w:val="14"/>
          <w:color w:val="auto"/>
        </w:rPr>
        <w:t>Underperformance in reservoir productivity, delays in wellfield construction, insufficient data quality, or inaccuracies in our models could lead to higher than expected capital intensity, lower realized output per well, or elevated operating costs. Moreover, failure to standardize and replicate our GeoBlock design, or to integrate turbine, balance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plant, and control systems as planned, may limit our ability to translate improvements from one deployment to the next. If we do not achieve anticipated technology-driven gains in drilling speed, lateral length, temperature targeting, thermal energy recovery and ORC performance, we may be unable to deliver expected per-kilowatt cost reductions or step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ups in gross megawatt productivity per well.</w:t>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obtain additional capital to fund more GeoCluster and GeoBlock deployments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operate in a capital-intensive industry and our strategy depends on sustained access to both project and corporate-level capital to finance drilling, completions, and standardized 50-megawatt ORC power units within our multi-gigawatt GeoClusters. As we scale construction and development of our projects, we expect periods of</w:t>
      </w:r>
    </w:p>
    <w:p>
      <w:pPr>
        <w:spacing w:after="0" w:line="2" w:lineRule="exact"/>
        <w:rPr>
          <w:sz w:val="20"/>
          <w:szCs w:val="20"/>
          <w:color w:val="auto"/>
        </w:rPr>
      </w:pPr>
    </w:p>
    <w:p>
      <w:pPr>
        <w:ind w:left="1160" w:right="1259"/>
        <w:spacing w:after="0" w:line="261" w:lineRule="auto"/>
        <w:rPr>
          <w:sz w:val="20"/>
          <w:szCs w:val="20"/>
          <w:color w:val="auto"/>
        </w:rPr>
      </w:pPr>
      <w:r>
        <w:rPr>
          <w:rFonts w:ascii="Times New Roman" w:cs="Times New Roman" w:eastAsia="Times New Roman" w:hAnsi="Times New Roman"/>
          <w:sz w:val="14"/>
          <w:szCs w:val="14"/>
          <w:color w:val="auto"/>
        </w:rPr>
        <w:t>negative operating cash flow, particularly at our Cape Station GeoCluster, where 500 megawatts is under construction with staged energization. Although we have executed binding PPAs which provide a substantial contracted revenue backlog, our ability to convert these commercial arrangements into operating projects relies on timely and cost-effective access to external financing.</w:t>
      </w:r>
    </w:p>
    <w:p>
      <w:pPr>
        <w:spacing w:after="0" w:line="10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Sources of funding for our development include project and corporate-level equity, term debt, construction financing and bridge loans, tax equity, as well as contracted revenue under long-term PPAs and forward sales of tax credits. Since our inception, we have successfully accessed multiple sources of capital and have built a robust financing function capable of securing funding across our capital stack. As of December 31, 2025 , we have raised approximately $1.2 billion in corporate-level capital, while also raising $320.0 million in connection with project-level debt and equity. Subsequently, on March 6, 2026 we closed an approximately $421.4 million project finance credit facility with a syndicate of nine lenders for Cape Phase I.</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If capital is unavailable on acceptable terms or within required timeframes, we may be forced to delay, scale back, or reprioritize GeoBlocks, defer interconnections, or restructure project scopes. Financing availability and cost are influenced by conditions in capital markets, interest rate environments, lender appetite, and our operating performance, including the pace at which we realize drilling and subsurface learning curves, achieve expected power outputs, and maintain construction schedules and budgets. Even with our standardized design, secured geothermal mineral rights, and maturing supply chain relationships with blue-chip service providers and equipment manufacturers, we face risks of cost inflation, schedule slippage, and equipment delivery delays that can increase required funding or compress returns, which in turn may limit financing availability. While project-level, non-dilutive capital can delay our need to raise funds at the corporate level, there can be no assurance that such financing will be available at scale or that it will fully fund our development plans. In addition, certain funding sources are milestone-based or conditioned on project progress, and cost overruns or schedule delays could affect the availability and timing of such funding.</w:t>
      </w:r>
    </w:p>
    <w:p>
      <w:pPr>
        <w:spacing w:after="0" w:line="280"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As we continue to finance additional projects, we are identifying and executing on the optimal cost of capital, reducing financing costs and increasing local project profitability. We expect our disciplined financing model to continue to position us to fund GeoCluster and GeoBlock buildout efficiently across market cycles. However, there is no assurance we will continue to have access to such lower-cost sources of capital. Any shortfall could require us to raise additional dilutive equity, incur higher-cost debt, monetize contracted offtake or other assets on unfavorable terms, or slow execution of our GeoCluster buildout. If we cannot obtain adequate capital when needed, we may be unable to meet contractual obligations under PPAs, achieve planned cost reductions from modular replication, or deliver capacity on the timelines our customers expect, which could materially and adversely affect our business, liquidity, financial condition and operations.</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secure and monetize government incentives and tax credits</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A portion of our project economics and capital deployment strategy relies on the availability and monetization of federal tax credits, including investment and production tax credits established under current energy legislation. We intend to monetize these tax credits primarily through tax equity partnerships and through the sale and transfer of tax credits to buyers, which support reductions in upfront development costs and provide additional liquidity for our EGS projects. Any changes to tax credit policies, qualification criteria, or legislative sunsets represent a risk to our business model and financial performance. Additionally, growing regulatory complexity, including enhanced compliance requirements, could hinder our ability to claim or transfer tax credits effectively. The potential early expiration or curtailment of tax incentives could delay project timelines and reduce returns, adversely impacting our</w:t>
      </w:r>
    </w:p>
    <w:p>
      <w:pPr>
        <w:sectPr>
          <w:pgSz w:w="11900" w:h="16838" w:orient="portrait"/>
          <w:cols w:equalWidth="0" w:num="1">
            <w:col w:w="9019"/>
          </w:cols>
          <w:pgMar w:left="1440" w:top="114" w:right="1440" w:bottom="0" w:gutter="0" w:footer="0" w:header="0"/>
        </w:sectPr>
      </w:pPr>
    </w:p>
    <w:bookmarkStart w:id="75" w:name="page76"/>
    <w:bookmarkEnd w:id="75"/>
    <w:p>
      <w:pPr>
        <w:ind w:left="1160"/>
        <w:spacing w:after="0"/>
        <w:rPr>
          <w:sz w:val="20"/>
          <w:szCs w:val="20"/>
          <w:color w:val="auto"/>
        </w:rPr>
      </w:pPr>
      <w:r>
        <w:rPr>
          <w:rFonts w:ascii="Times New Roman" w:cs="Times New Roman" w:eastAsia="Times New Roman" w:hAnsi="Times New Roman"/>
          <w:sz w:val="14"/>
          <w:szCs w:val="14"/>
          <w:color w:val="auto"/>
        </w:rPr>
        <w:t>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5"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We expect that continued access to investment and production tax credits will enhance our project economics and accelerate our commercialization timetable, enabling a more rapid scale-up of our geothermal portfolio.</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do not currently present Adjusted EBITDA or other non-GAAP financial measures in this prospectus, as our operations to date have been primarily pre-commercial development activities. However, we intend to begin presenting Adjusted EBITDA in the future once we commence commercial operations at Cape Station, to provide investors with additional insights into our operating performance and cash flow generation from power sales. Adjusted EBITDA will be defined as net income (loss) adjusted to exclude interest expense, income taxes, depreciation and amortization, share-based compensation, and other non-recurring or non-cash items that management believes do not reflect the underlying performance of our geothermal projects and our business. We believe that presenting Adjusted EBITDA will complement the most directly comparable GAAP financial measures and assist investors in evaluating our financial condition, operational trends, and progress toward scalability post-commercialization. This disclosure is made in anticipation of our transition to revenue-generating operations following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Sources of Revenue</w:t>
      </w:r>
    </w:p>
    <w:p>
      <w:pPr>
        <w:spacing w:after="0" w:line="142"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revenue generation is primarily driven by the sale of electricity from geothermal resources, facilitated through long-term PPAs with utilities and other entities. In 2025 and 2024, we successfully secured multiple long-term PPAs, laying the groundwork for substantial operational activities which we expect to commence beginning in late 2026. Pricing under these PPAs is generally fixed for the duration of the contract, although some of the Company’s PPAs may have price escalators based on an index or other rates specified in the applicable PPA. Our most near-term PPA is an arrangement with Shell for a guaranteed capacity of 31 megawatts, with a delivery term of</w:t>
      </w:r>
    </w:p>
    <w:p>
      <w:pPr>
        <w:spacing w:after="0" w:line="2"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15 contract years and a scheduled commercial operation date in late 2026. We also have PPAs with Southern California Edison, Google / NV Energy, Clean Power Alliance, Desert Community Energy, and Calchoice for a total of 658 megawatts with similar 15 year contracted terms. As our development projects achieve commercial operation beginning in late 2026, we expect revenues to increase significantly from the current early-stage levels, providing stable, long-term cash flows from contracted electricity sales.</w:t>
      </w:r>
    </w:p>
    <w:p>
      <w:pPr>
        <w:spacing w:after="0" w:line="102"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Revenue from our geothermal power sales under existing PPAs does not include a transfer of tax attributes (including tax credits), which we plan to separately monetize through tax equity arrangements or through the sale and transfer of tax credits to buyers.</w:t>
      </w:r>
    </w:p>
    <w:p>
      <w:pPr>
        <w:spacing w:after="0" w:line="9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Revenue generated during the years ended December 31, 2025 and 2024 includes ancillary fees associated with rights to geothermal production, which are not expected to be significant to our revenue generation activities in the future.</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Operation and Maintenance</w:t>
      </w:r>
    </w:p>
    <w:p>
      <w:pPr>
        <w:spacing w:after="0" w:line="110" w:lineRule="exact"/>
        <w:rPr>
          <w:sz w:val="20"/>
          <w:szCs w:val="20"/>
          <w:color w:val="auto"/>
        </w:rPr>
      </w:pPr>
    </w:p>
    <w:p>
      <w:pPr>
        <w:ind w:left="1160" w:right="1319" w:firstLine="258"/>
        <w:spacing w:after="0" w:line="181" w:lineRule="exact"/>
        <w:rPr>
          <w:sz w:val="20"/>
          <w:szCs w:val="20"/>
          <w:color w:val="auto"/>
        </w:rPr>
      </w:pPr>
      <w:r>
        <w:rPr>
          <w:rFonts w:ascii="Times New Roman" w:cs="Times New Roman" w:eastAsia="Times New Roman" w:hAnsi="Times New Roman"/>
          <w:sz w:val="14"/>
          <w:szCs w:val="14"/>
          <w:color w:val="auto"/>
        </w:rPr>
        <w:t>Operation and maintenance expenses consist of site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costs incurred to operate, service, and maintain our installed geothermal test wells, related field infrastructure, and reservoir evaluation activities. These costs include contracted field labor, geological and geophysical services, reservoir and engineering support, seismic surveys, equipment rentals, materials and supplies, routine inspections, and repair and maintenance activities, as well as ongoing technical support necessary to sustain field operations.</w:t>
      </w:r>
    </w:p>
    <w:p>
      <w:pPr>
        <w:spacing w:after="0" w:line="117"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Operation and maintenance expenses are incurred on an ongoing basis to support geothermal site evaluation and development activities and to maintain the performance of our test systems. These costs exclude corporate overhead and administrative functions, which are recorded in general and administrative expenses. Operation and maintenance expenses are expensed as incurred in accordance with GAAP. We expect operation and maintenance expenses to increase significantly as Cape Station reaches COD and field activities transition from testing and evaluation to sustained operations.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Research and Development Expenses (Income), Net</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R&amp;D expenses (income), net consist primarily of costs associated with the development of our proprietary enhanced geothermal systems technology, including advanced computational models, horizontal drilling techniques, and distributed fiber optic sensing systems. These expenses encompass engineering design, technical personnel costs, field testing, data analysis, and the development of our proprietary geothermal well and reservoir engineering solutions.</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R&amp;D expenses (income), net are expensed as incurred in accordance with GAAP and a re presented net of grant proceeds received from the U.S. Department of Energy and other government agencies that support our technology development initiatives. In certain periods, grant proceeds may exceed gross R&amp;D expenditures, resulting in the presentation of net R&amp;D income. Our R&amp;D investments are critical to maintaining our technological leadership in EGS and achieving the cost reductions and performance improvements necessary to scale our operations and deliver competitive baseload renewable power.</w:t>
      </w:r>
    </w:p>
    <w:p>
      <w:pPr>
        <w:sectPr>
          <w:pgSz w:w="11900" w:h="16838" w:orient="portrait"/>
          <w:cols w:equalWidth="0" w:num="1">
            <w:col w:w="9019"/>
          </w:cols>
          <w:pgMar w:left="1440" w:top="94" w:right="1440" w:bottom="545"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94" w:right="1440" w:bottom="545" w:gutter="0" w:footer="0" w:header="0"/>
          <w:type w:val="continuous"/>
        </w:sectPr>
      </w:pPr>
    </w:p>
    <w:bookmarkStart w:id="76" w:name="page77"/>
    <w:bookmarkEnd w:id="76"/>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160" w:right="1259" w:firstLine="258"/>
        <w:spacing w:after="0" w:line="187" w:lineRule="exact"/>
        <w:rPr>
          <w:sz w:val="20"/>
          <w:szCs w:val="20"/>
          <w:color w:val="auto"/>
        </w:rPr>
      </w:pPr>
      <w:r>
        <w:rPr>
          <w:rFonts w:ascii="Times New Roman" w:cs="Times New Roman" w:eastAsia="Times New Roman" w:hAnsi="Times New Roman"/>
          <w:sz w:val="14"/>
          <w:szCs w:val="14"/>
          <w:color w:val="auto"/>
        </w:rPr>
        <w:t>Because R&amp;D activities are central to our business model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technology roadmap, we expect R&amp;D spending to continue as we advance new initiatives, although the level of expense may fluctuate depending on the stage and scale of specific development programs.</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4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General and administrative expenses include costs related to corporate management and support functions, such as general management, legal, accounting, finance, human resources, sales, marketing, and other functions not directly associated with revenue generating activities. These expenses are expensed as incurred.</w:t>
      </w:r>
    </w:p>
    <w:p>
      <w:pPr>
        <w:spacing w:after="0" w:line="93"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We expect our general and administrative expenses to increase as we continue to grow our personnel headcount to support our R&amp;D activities, construction activities and expansion of our operations as we progress toward commercial operations. We also anticipate increased expenses associated with operating as a public company, including costs for audit, legal, regulatory and tax compliance with the rules and regulations of the SEC and NASDAQ listing standards, as well as increased director and officer insurance premiums and investor relations costs.</w:t>
      </w: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Operating Lease Expenses</w:t>
      </w:r>
    </w:p>
    <w:p>
      <w:pPr>
        <w:spacing w:after="0" w:line="142" w:lineRule="exact"/>
        <w:rPr>
          <w:sz w:val="20"/>
          <w:szCs w:val="20"/>
          <w:color w:val="auto"/>
        </w:rPr>
      </w:pPr>
    </w:p>
    <w:p>
      <w:pPr>
        <w:ind w:left="1160" w:right="1299" w:firstLine="258"/>
        <w:spacing w:after="0" w:line="259" w:lineRule="auto"/>
        <w:rPr>
          <w:sz w:val="20"/>
          <w:szCs w:val="20"/>
          <w:color w:val="auto"/>
        </w:rPr>
      </w:pPr>
      <w:r>
        <w:rPr>
          <w:rFonts w:ascii="Times New Roman" w:cs="Times New Roman" w:eastAsia="Times New Roman" w:hAnsi="Times New Roman"/>
          <w:sz w:val="14"/>
          <w:szCs w:val="14"/>
          <w:color w:val="auto"/>
        </w:rPr>
        <w:t>Operating lease expenses, prior to us generating power, consist of annual lease payments for geothermal resource rights across our 595,900 acre portfolio in California, Colorado, Idaho, Nevada, New Mexico, Utah and Washington as of December 31, 2025 . These payments, made to the Bureau of Land Management, state agencies, and private landowners, maintain our exclusive access to subsurface geothermal resources during the exploration, development, and construction phases of our projects. Operating lease expenses also include costs for office facilities and equipment rentals necessary to support our operations. We recognize operating lease expenses on a straight-line basis over the lease term in accordance with Accounting Standards Codification (“ASC”) 842. These lease payments are critical to securing our extensive land position and development pipeline while we advance projects toward commercial operation. Once we start to generate power, our lease agreements are structured such that we will pay a royalty that is a percentage of revenue received from the sale of power and other attributes over the leased land.</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142"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Depreciation and amortization primarily reflects the depreciation of property, plant and equipment placed in service, including leasehold improvements and equipment.</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Interest Income and Expense</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Interest income consists of interest earned on our cash and cash equivalents, while interest expense consists of interest incurred on our Mercuria Credit Agreement and Credit Facility.</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Non-Operating Expense</w:t>
      </w:r>
    </w:p>
    <w:p>
      <w:pPr>
        <w:spacing w:after="0" w:line="110" w:lineRule="exact"/>
        <w:rPr>
          <w:sz w:val="20"/>
          <w:szCs w:val="20"/>
          <w:color w:val="auto"/>
        </w:rPr>
      </w:pPr>
    </w:p>
    <w:p>
      <w:pPr>
        <w:ind w:left="1160" w:right="1159" w:firstLine="258"/>
        <w:spacing w:after="0" w:line="194" w:lineRule="exact"/>
        <w:rPr>
          <w:sz w:val="20"/>
          <w:szCs w:val="20"/>
          <w:color w:val="auto"/>
        </w:rPr>
      </w:pPr>
      <w:r>
        <w:rPr>
          <w:rFonts w:ascii="Times New Roman" w:cs="Times New Roman" w:eastAsia="Times New Roman" w:hAnsi="Times New Roman"/>
          <w:sz w:val="14"/>
          <w:szCs w:val="14"/>
          <w:color w:val="auto"/>
        </w:rPr>
        <w:t>Other non-operating expense consists primarily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fair value remeasurement gains or losses on warrant and derivative liabilities, as well as state franchise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for the years indicated:</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Pr>
          <w:p>
            <w:pPr>
              <w:spacing w:after="0"/>
              <w:rPr>
                <w:sz w:val="13"/>
                <w:szCs w:val="13"/>
                <w:color w:val="auto"/>
              </w:rPr>
            </w:pP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60" w:type="dxa"/>
            <w:vAlign w:val="bottom"/>
          </w:tcPr>
          <w:p>
            <w:pPr>
              <w:spacing w:after="0"/>
              <w:rPr>
                <w:sz w:val="13"/>
                <w:szCs w:val="13"/>
                <w:color w:val="auto"/>
              </w:rPr>
            </w:pPr>
          </w:p>
        </w:tc>
      </w:tr>
      <w:tr>
        <w:trPr>
          <w:trHeight w:val="155"/>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 except percentages)</w:t>
            </w: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9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Revenues</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and expenses: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Operation and maintenance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8"/>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Research and development income, net</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21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8"/>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expenses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1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180"/>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Operatingloss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(41,838)</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08"/>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8"/>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21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997 %</w:t>
            </w:r>
          </w:p>
        </w:tc>
      </w:tr>
      <w:tr>
        <w:trPr>
          <w:trHeight w:val="198"/>
        </w:trPr>
        <w:tc>
          <w:tcPr>
            <w:tcW w:w="2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non-operating expense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1909 %</w:t>
            </w:r>
          </w:p>
        </w:tc>
      </w:tr>
      <w:tr>
        <w:trPr>
          <w:trHeight w:val="19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Lossbeforeincometaxes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(41,054)</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8"/>
        </w:trPr>
        <w:tc>
          <w:tcPr>
            <w:tcW w:w="2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Income tax expense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3"/>
        </w:trPr>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Netloss</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(41,110)</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(16,678)</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904" w:orient="portrait"/>
          <w:cols w:equalWidth="0" w:num="1">
            <w:col w:w="9019"/>
          </w:cols>
          <w:pgMar w:left="1440" w:top="94" w:right="1440" w:bottom="0" w:gutter="0" w:footer="0" w:header="0"/>
        </w:sectPr>
      </w:pPr>
    </w:p>
    <w:p>
      <w:pPr>
        <w:ind w:left="1420"/>
        <w:spacing w:after="0"/>
        <w:rPr>
          <w:sz w:val="20"/>
          <w:szCs w:val="20"/>
          <w:color w:val="auto"/>
        </w:rPr>
      </w:pPr>
      <w:r>
        <w:rPr>
          <w:rFonts w:ascii="Times New Roman" w:cs="Times New Roman" w:eastAsia="Times New Roman" w:hAnsi="Times New Roman"/>
          <w:sz w:val="14"/>
          <w:szCs w:val="14"/>
          <w:i w:val="1"/>
          <w:iCs w:val="1"/>
          <w:color w:val="auto"/>
        </w:rPr>
        <w:t>Revenues</w:t>
      </w:r>
    </w:p>
    <w:p>
      <w:pPr>
        <w:sectPr>
          <w:pgSz w:w="11900" w:h="16904" w:orient="portrait"/>
          <w:cols w:equalWidth="0" w:num="1">
            <w:col w:w="9019"/>
          </w:cols>
          <w:pgMar w:left="1440" w:top="94" w:right="1440" w:bottom="0" w:gutter="0" w:footer="0" w:header="0"/>
          <w:type w:val="continuous"/>
        </w:sectPr>
      </w:pPr>
    </w:p>
    <w:bookmarkStart w:id="77" w:name="page78"/>
    <w:bookmarkEnd w:id="77"/>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Revenues decreased by less than $0.1 million in 2025 compared to 2024. Revenues in 2025 and 2024 relate to ancillary fees associated with rights to geothermal production at Project Red. This type of revenue is not expected to be significant to our long-term revenue generation, as we have not yet commenced large-scale commercial operations. The change was not material to overall results.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Operation and Maintenance</w:t>
      </w:r>
    </w:p>
    <w:p>
      <w:pPr>
        <w:spacing w:after="0" w:line="142"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Operation and maintenance expenses increased by less than by $ 0.1 million in 2025 compared to 2024. The increase was primarily attributable to modest increases in contracted labor, engineering support and site evaluation activities. The change was not material to overall results.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Research and Development Expense (Income), Net</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R&amp;D expenses (income), net were relatively consistent between 2025 and 2024. G ross R&amp;D expenses decreased by $ 2.7 million, primarily due to the completion of development activities related to Project Red following its achievement of commercial operations in 2024. This decrease was largely offset by a $2.6 million</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reduction in grant proceeds due to lower qualifying expenditures under U.S. Department of Energy programs.</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42" w:lineRule="exact"/>
        <w:rPr>
          <w:sz w:val="20"/>
          <w:szCs w:val="20"/>
          <w:color w:val="auto"/>
        </w:rPr>
      </w:pPr>
    </w:p>
    <w:p>
      <w:pPr>
        <w:ind w:left="1160" w:right="1159" w:firstLine="258"/>
        <w:spacing w:after="0" w:line="182" w:lineRule="exact"/>
        <w:rPr>
          <w:sz w:val="20"/>
          <w:szCs w:val="20"/>
          <w:color w:val="auto"/>
        </w:rPr>
      </w:pPr>
      <w:r>
        <w:rPr>
          <w:rFonts w:ascii="Times New Roman" w:cs="Times New Roman" w:eastAsia="Times New Roman" w:hAnsi="Times New Roman"/>
          <w:sz w:val="14"/>
          <w:szCs w:val="14"/>
          <w:color w:val="auto"/>
        </w:rPr>
        <w:t>General and administrative expenses increased by $4.0 million in 2025 compared to 2024. During the year, we experienced an increase in general and administrative cost activities, driven by employee-related costs and additional administrative and operational support functions required to support our growth and advance our public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company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readiness initiatives.</w:t>
      </w:r>
    </w:p>
    <w:p>
      <w:pPr>
        <w:spacing w:after="0" w:line="60" w:lineRule="exact"/>
        <w:rPr>
          <w:sz w:val="20"/>
          <w:szCs w:val="20"/>
          <w:color w:val="auto"/>
        </w:rPr>
      </w:pPr>
    </w:p>
    <w:p>
      <w:pPr>
        <w:ind w:left="1160" w:right="1179" w:firstLine="258"/>
        <w:spacing w:after="0" w:line="187" w:lineRule="exact"/>
        <w:rPr>
          <w:sz w:val="20"/>
          <w:szCs w:val="20"/>
          <w:color w:val="auto"/>
        </w:rPr>
      </w:pPr>
      <w:r>
        <w:rPr>
          <w:rFonts w:ascii="Times New Roman" w:cs="Times New Roman" w:eastAsia="Times New Roman" w:hAnsi="Times New Roman"/>
          <w:sz w:val="14"/>
          <w:szCs w:val="14"/>
          <w:color w:val="auto"/>
        </w:rPr>
        <w:t>Employee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expenses increased by $3.8 million in 2025 compared to 2024, primarily due to an increase in headcount of 89 employees to expand our technical, operational, and administrative functions to support project development, execution, and corporate operations. This headcount growth resulted in an increase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60" w:right="1639"/>
        <w:spacing w:after="0" w:line="206" w:lineRule="exact"/>
        <w:rPr>
          <w:sz w:val="20"/>
          <w:szCs w:val="20"/>
          <w:color w:val="auto"/>
        </w:rPr>
      </w:pPr>
      <w:r>
        <w:rPr>
          <w:rFonts w:ascii="Times New Roman" w:cs="Times New Roman" w:eastAsia="Times New Roman" w:hAnsi="Times New Roman"/>
          <w:sz w:val="14"/>
          <w:szCs w:val="14"/>
          <w:color w:val="auto"/>
        </w:rPr>
        <w:t>compensation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costs, including salaries, payroll taxes, health and welfare benefits, performance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bonuses,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and retirement plan contributions.</w:t>
      </w:r>
    </w:p>
    <w:p>
      <w:pPr>
        <w:spacing w:after="0" w:line="92" w:lineRule="exact"/>
        <w:rPr>
          <w:sz w:val="20"/>
          <w:szCs w:val="20"/>
          <w:color w:val="auto"/>
        </w:rPr>
      </w:pPr>
    </w:p>
    <w:p>
      <w:pPr>
        <w:ind w:left="1160" w:right="1199" w:firstLine="258"/>
        <w:spacing w:after="0" w:line="174" w:lineRule="exact"/>
        <w:rPr>
          <w:sz w:val="20"/>
          <w:szCs w:val="20"/>
          <w:color w:val="auto"/>
        </w:rPr>
      </w:pPr>
      <w:r>
        <w:rPr>
          <w:rFonts w:ascii="Times New Roman" w:cs="Times New Roman" w:eastAsia="Times New Roman" w:hAnsi="Times New Roman"/>
          <w:sz w:val="14"/>
          <w:szCs w:val="14"/>
          <w:color w:val="auto"/>
        </w:rPr>
        <w:t>Additional increases in general and administrative expense of $1.8 million were attributable to higher software, information technology, and data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costs, including licensing fees and cloud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services, as well as an increase of $1.3 million for insurance and surety bond expenses associated with our expanding asset base and operational footprint. These increases were partially offset by a $ 3.4 million decrease in legal and professional services expense, primarily due to reduced reliance on external legal advisors following the expansion of our 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house legal function. In addition, legal costs were elevated in 2024 due to increased transactional activity, including a higher volume of commercial agreements and other corporate matters that did not require external legal services at similar levels in 2025. The remaining movement in general and administrative expenses related to a variety of individually insignificant movements year-over-year.</w:t>
      </w:r>
    </w:p>
    <w:p>
      <w:pPr>
        <w:spacing w:after="0" w:line="1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Certain general and administrative expense categories experienced variability year-over-year due to the timing</w:t>
      </w:r>
    </w:p>
    <w:p>
      <w:pPr>
        <w:spacing w:after="0" w:line="22" w:lineRule="exact"/>
        <w:rPr>
          <w:sz w:val="20"/>
          <w:szCs w:val="20"/>
          <w:color w:val="auto"/>
        </w:rPr>
      </w:pPr>
    </w:p>
    <w:p>
      <w:pPr>
        <w:jc w:val="both"/>
        <w:ind w:left="1160" w:right="1239"/>
        <w:spacing w:after="0" w:line="173" w:lineRule="exact"/>
        <w:rPr>
          <w:sz w:val="20"/>
          <w:szCs w:val="20"/>
          <w:color w:val="auto"/>
        </w:rPr>
      </w:pPr>
      <w:r>
        <w:rPr>
          <w:rFonts w:ascii="Times New Roman" w:cs="Times New Roman" w:eastAsia="Times New Roman" w:hAnsi="Times New Roman"/>
          <w:sz w:val="14"/>
          <w:szCs w:val="14"/>
          <w:color w:val="auto"/>
        </w:rPr>
        <w:t>of specific initiatives, professional engagements, and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costs. While we expect these expenses to remain elevated as we continue to scale our operations and infrastructure, the rate of growth in general and administrative expenses is expected to moderate over time as we complete key build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 initiatives and achieve greater operating leverage.</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Operating Lease Expenses</w:t>
      </w:r>
    </w:p>
    <w:p>
      <w:pPr>
        <w:spacing w:after="0" w:line="142"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Operating lease expenses increased by $2.8 million in 2025 compared to 2024. The increase was primarily attributable to 69 new lease commitments entered into during 2025 to support our continued growth and expanded operational requirements.</w:t>
      </w:r>
    </w:p>
    <w:p>
      <w:pPr>
        <w:spacing w:after="0" w:line="9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Operating lease expenses consist primarily of geothermal lease payments, office facilities, operational sites, and equipment rentals. The increase reflects additional leased acreage and infrastructure required to support project development and operational expansion.</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142"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Depreciation and amortization increased by $ 0.2 million in 2025 compared to 2024, primarily due to additional assets placed in service. The change was not material to overall results.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Interest Income and Expense</w:t>
      </w:r>
    </w:p>
    <w:p>
      <w:pPr>
        <w:spacing w:after="0" w:line="142"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Interest income increased by $2.4 million in 2025 compared to 2024. The increase was due to higher average cash balances at the beginning of 2025 following our successful Series D preferred stock financing completed in 2024.</w:t>
      </w:r>
    </w:p>
    <w:p>
      <w:pPr>
        <w:spacing w:after="0" w:line="93"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Interest expense increased by $7.6 million in 2025 compared to 2024. The increase was due to an increase in outstanding debt to fund our growth and operations, including draws of $30.0 million against our Credit Agreement and $35.5 million against the Credit Facility with Mercuria Energy Trading SA (“Mercuria”).</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Non-Operating Expense</w:t>
      </w:r>
    </w:p>
    <w:p>
      <w:pPr>
        <w:spacing w:after="0" w:line="142" w:lineRule="exact"/>
        <w:rPr>
          <w:sz w:val="20"/>
          <w:szCs w:val="20"/>
          <w:color w:val="auto"/>
        </w:rPr>
      </w:pPr>
    </w:p>
    <w:p>
      <w:pPr>
        <w:ind w:left="1160" w:right="1179" w:firstLine="258"/>
        <w:spacing w:after="0" w:line="174" w:lineRule="exact"/>
        <w:rPr>
          <w:sz w:val="20"/>
          <w:szCs w:val="20"/>
          <w:color w:val="auto"/>
        </w:rPr>
      </w:pPr>
      <w:r>
        <w:rPr>
          <w:rFonts w:ascii="Times New Roman" w:cs="Times New Roman" w:eastAsia="Times New Roman" w:hAnsi="Times New Roman"/>
          <w:sz w:val="14"/>
          <w:szCs w:val="14"/>
          <w:color w:val="auto"/>
        </w:rPr>
        <w:t>Other non-operating expense increased by $4.5 million in 2025 compared to 2024. This increase was primarily driven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valuation remeasurement losses of $5.1 million recognized during 2025, including an increase in the warrant liability fair value of $3.4 million at December 31, 2025 compared to its initial measurement at October 6, 2025, as well as recognition of a bifurcated embedded derivative of $1.7 million recorded at fair value for our project-level subsidiary Cape Phase 1 Intermediate HoldCo, LLC (“Cape P1 Intermediate HoldCo”) with Centaurus Capital LP (“Centaurus”).</w:t>
      </w:r>
    </w:p>
    <w:p>
      <w:pPr>
        <w:spacing w:after="0" w:line="86" w:lineRule="exact"/>
        <w:rPr>
          <w:sz w:val="20"/>
          <w:szCs w:val="20"/>
          <w:color w:val="auto"/>
        </w:rPr>
      </w:pPr>
    </w:p>
    <w:p>
      <w:pPr>
        <w:ind w:left="1160" w:right="1279" w:firstLine="258"/>
        <w:spacing w:after="0" w:line="187" w:lineRule="exact"/>
        <w:rPr>
          <w:sz w:val="20"/>
          <w:szCs w:val="20"/>
          <w:color w:val="auto"/>
        </w:rPr>
      </w:pPr>
      <w:r>
        <w:rPr>
          <w:rFonts w:ascii="Times New Roman" w:cs="Times New Roman" w:eastAsia="Times New Roman" w:hAnsi="Times New Roman"/>
          <w:sz w:val="14"/>
          <w:szCs w:val="14"/>
          <w:color w:val="auto"/>
        </w:rPr>
        <w:t>The remaining change in 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operating expense, totaling approximately $ 0.6 million decrease, was attributable to the release of a previously recorded sales tax accrual upon expiration of the applicable statute of limitations during 2025.</w:t>
      </w:r>
    </w:p>
    <w:p>
      <w:pPr>
        <w:sectPr>
          <w:pgSz w:w="11900" w:h="16838" w:orient="portrait"/>
          <w:cols w:equalWidth="0" w:num="1">
            <w:col w:w="9019"/>
          </w:cols>
          <w:pgMar w:left="1440" w:top="275" w:right="1440" w:bottom="0" w:gutter="0" w:footer="0" w:header="0"/>
        </w:sectPr>
      </w:pPr>
    </w:p>
    <w:bookmarkStart w:id="78" w:name="page79"/>
    <w:bookmarkEnd w:id="78"/>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Sources and Uses of Liquidity</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Sources of Liquidity</w:t>
      </w:r>
    </w:p>
    <w:p>
      <w:pPr>
        <w:spacing w:after="0" w:line="142"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We maintain a strong focus on liquidity to support our ongoing geothermal development and operations. As a development-stage company, our principal sources of liquidity have been derived from equity financing, including proceeds from redeemable convertible preferred stock issuances, project and corporate-level debt financing arrangements, project-level equity financings, and grant funding from government agencies. We consider our level of cash on hand, borrowing capacity, current ratio, and working capital levels to be our most important measures of short-term liquidity. For long-term liquidity indicators, we believe our ratio of long-term debt to equity and our historical levels of net cash flows from investing activities to be the most important measures.</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As of December 31, 2025 , our liquidity position consisted of $461.8 million in unrestricted cash and cash equivalents (including $442.0 million held in money market funds) and $6.0 million in restricted cash, and in addition to our cash position, we had access to the following undrawn amounts under our agreements with Mercuria: $70.0 million under our Credit Agreement, and $44.5 million under our Letter of Credit Facility. As of December 31, 2025, we had fully drawn against our XRC Facility. On April 14, 2026, we repaid all outstanding balances under the XRC Facility, and the XRC Facility was terminated.</w:t>
      </w:r>
    </w:p>
    <w:p>
      <w:pPr>
        <w:spacing w:after="0" w:line="10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Our liquidity position was strengthened through recent equity financings, including $ 462.0 million in gross proceeds from our Series E equity raise in 2025 and $368.3 million in gross proceeds from our Series D preferred stock financing in 2024. We have deployed this capital to fund the exploration and development of our geothermal projects, construct power generation facilities, support R&amp;D activities and meet working capital requirements. Our liquidity position was further strengthened in March 2026, as our subsidiaries entered into the Project Granite Facility to finance the development of our Cape Station Phase I project. The facility provides for aggregate commitments of approximately $ 421.4 million, consisting of (i) a construction loan facility, (ii) a tax credit transfer bridge loan facility, (iii) multiple letter of credit facilities, and (iv) a term loan facility that will refinance the construction loans upon satisfaction of specified conversion conditions. As of December 31, 2025, there was no borrowing under the Project Granite Facility.</w:t>
      </w:r>
    </w:p>
    <w:p>
      <w:pPr>
        <w:spacing w:after="0" w:line="103"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 xml:space="preserve">We regularly evaluate our liquidity position and capital structure in the context of our strategic development plan. Our ability to access additional capital through equity offerings, debt financings, or strategic partnerships will be critical to executing our business plan and achieving our goal of becoming a leading developer and operator of next-generation geothermal energy projects. Our cash flows from operations, borrowing availability, and overall liquidity are subject to various risks and uncertainties, including those described in the section titled “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elsewhere in this prospectus.</w:t>
      </w:r>
    </w:p>
    <w:p>
      <w:pPr>
        <w:spacing w:after="0" w:line="101"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 xml:space="preserve">See further discussion of our available liquidity as described in “ </w:t>
      </w:r>
      <w:r>
        <w:rPr>
          <w:rFonts w:ascii="Times New Roman" w:cs="Times New Roman" w:eastAsia="Times New Roman" w:hAnsi="Times New Roman"/>
          <w:sz w:val="14"/>
          <w:szCs w:val="14"/>
          <w:u w:val="single" w:color="auto"/>
          <w:color w:val="0000FF"/>
        </w:rPr>
        <w:t>Management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Financial Condition and Results of Operations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Indebtedness” section below, along with Note 3 – Debt and Off-Balance Sheet Arrangements , Note 8 – Common Stock , and Note 9 – Redeemable Convertible Preferred Stock in the notes to consolidated financial statements.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Catalyst and Centaurus Financing Agreements</w:t>
      </w:r>
    </w:p>
    <w:p>
      <w:pPr>
        <w:spacing w:after="0" w:line="142"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During the year ended December 31, 2025 , we executed Amended and Restated Limited Liability Company Agreements for our project-level subsidiary Cape Phase I HoldCo, LLC (“Cape P1 HoldCo”) with Granite Energy InvestCo, LLC (“Catalyst”) and Cape P1 Intermediate HoldCo with Centaurus. Catalyst subscribed to 4,635 Class A Units in Cape Phase I HoldCo, LLC for a total capital contribution of $100.0 million. Centaurus subscribed to 7,500 Class A Units in Cape P1 Intermediate HoldCo for an initial contribution of $75.0 million. In connection with this agreement, Centaurus was issued warrants to purchase up to 3,550,329 shares of Series D-3 convertible preferred stock in our company or the Company’s most senior class of equity securities at the time of exercise, at an exercise price of $5.28 per warrant or on a cashless basis (the “Centaurus Warrants”). The Centaurus Warrants will expire immediately prior to the closing of a firm commitment underwritten initial public offering of our Class A common stock. The Centaurus Warrants have a four-year term measured from October 6, 2025. The Cape Station Phase I</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project equity financings with Catalyst and Centaurus contain required payout provisions that must be satisfied prior to any distributions to our parent company. The Catalyst financing is structured as project-level preferred equity with a priority dividend and return-of-capital profile, with cash applied first to preferred distributions before amounts are available to common equity. The Centaurus financing, which we have negotiated for Cape Station Phase I as junior project preferred equity, includes a distribution waterfall that prioritizes cash to Centaurus until agreed return hurdles are achieved, after which distributions step down; certain terms could further reduce cash available to common equity. Preferred distributions under both the Catalyst and Centaurus financings commence only after Cape Station Phase I has achieved COD under the applicable PPAs and is generating distributable cash flow. As a result, we do not expect any preferred distributions to be required during the twelve-month period following December 31, 2025.</w:t>
      </w:r>
    </w:p>
    <w:p>
      <w:pPr>
        <w:spacing w:after="0" w:line="27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Over the longer term, beyond the twelve-month period following December 31, 2025, the Catalyst financing requires cumulative preferred distributions to Catalyst totaling approximately $139.0 million. These distributions are based on an amortizing repayment profile and are expected to be paid on a quarterly basis through the end of the repayment period, December 31, 2041. Over the same longer-term period, the Centaurus financing requires cumulative distributions of approximately $75.0 million before the applicable priority distribution percentage steps down, followed by a second priority distribution period requiring Centaurus to receive additional cumulative distributions of approximately $47.0 million. Following completion of this second priority distribution period,</w:t>
      </w:r>
    </w:p>
    <w:p>
      <w:pPr>
        <w:sectPr>
          <w:pgSz w:w="11900" w:h="16880" w:orient="portrait"/>
          <w:cols w:equalWidth="0" w:num="1">
            <w:col w:w="9019"/>
          </w:cols>
          <w:pgMar w:left="1440" w:top="264" w:right="1440" w:bottom="0" w:gutter="0" w:footer="0" w:header="0"/>
        </w:sectPr>
      </w:pPr>
    </w:p>
    <w:bookmarkStart w:id="79" w:name="page80"/>
    <w:bookmarkEnd w:id="79"/>
    <w:p>
      <w:pPr>
        <w:ind w:left="1160" w:right="1259"/>
        <w:spacing w:after="0" w:line="275" w:lineRule="auto"/>
        <w:rPr>
          <w:sz w:val="20"/>
          <w:szCs w:val="20"/>
          <w:color w:val="auto"/>
        </w:rPr>
      </w:pPr>
      <w:r>
        <w:rPr>
          <w:rFonts w:ascii="Times New Roman" w:cs="Times New Roman" w:eastAsia="Times New Roman" w:hAnsi="Times New Roman"/>
          <w:sz w:val="14"/>
          <w:szCs w:val="14"/>
          <w:color w:val="auto"/>
        </w:rPr>
        <w:t>Centaurus will retain a royalty interest in the project equal to $5.0 per MWh. As preferred distributions under the Centaurus financing are tied to achievement of return hurdles, the required amounts herein are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-204470</wp:posOffset>
            </wp:positionV>
            <wp:extent cx="716026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Certain provisions in the Catalyst and Centaurus financing agreements – including, but not limited to, change of control provisions, refinancing or asset sale provisions, and the exercise of put or call rights – could accelerate, modify, or otherwise affect these distribution requirements. In addition, these and any future project-level distribution waterfalls, reserve requirements, and covenant-based limitations associated with current and future financings may delay, reduce, or entirely preclude cash distributions to us for extended periods, even when the underlying project is operating as expected. Any such restrictions could reduce cash distributions from Cape Station Phase I to the holding company level.</w:t>
      </w:r>
    </w:p>
    <w:p>
      <w:pPr>
        <w:sectPr>
          <w:pgSz w:w="11900" w:h="16838" w:orient="portrait"/>
          <w:cols w:equalWidth="0" w:num="1">
            <w:col w:w="9019"/>
          </w:cols>
          <w:pgMar w:left="1440" w:top="94" w:right="1440" w:bottom="0" w:gutter="0" w:footer="0" w:header="0"/>
        </w:sectPr>
      </w:pP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See Note 13 – Variable Interest Entity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notes to the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financial statements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w:t>
      </w:r>
    </w:p>
    <w:p>
      <w:pPr>
        <w:spacing w:after="0" w:line="25" w:lineRule="exact"/>
        <w:rPr>
          <w:sz w:val="20"/>
          <w:szCs w:val="20"/>
          <w:color w:val="auto"/>
        </w:rPr>
      </w:pPr>
    </w:p>
    <w:p>
      <w:pPr>
        <w:sectPr>
          <w:pgSz w:w="11900" w:h="16838" w:orient="portrait"/>
          <w:cols w:equalWidth="0" w:num="4">
            <w:col w:w="3620" w:space="240"/>
            <w:col w:w="1040" w:space="260"/>
            <w:col w:w="1900" w:space="120"/>
            <w:col w:w="1839"/>
          </w:cols>
          <w:pgMar w:left="1440" w:top="94" w:right="1440" w:bottom="0" w:gutter="0" w:footer="0" w:header="0"/>
          <w:type w:val="continuous"/>
        </w:sectPr>
      </w:pPr>
    </w:p>
    <w:p>
      <w:pPr>
        <w:ind w:left="1160"/>
        <w:spacing w:after="0"/>
        <w:rPr>
          <w:sz w:val="20"/>
          <w:szCs w:val="20"/>
          <w:color w:val="auto"/>
        </w:rPr>
      </w:pPr>
      <w:r>
        <w:rPr>
          <w:rFonts w:ascii="Times New Roman" w:cs="Times New Roman" w:eastAsia="Times New Roman" w:hAnsi="Times New Roman"/>
          <w:sz w:val="14"/>
          <w:szCs w:val="14"/>
          <w:color w:val="auto"/>
        </w:rPr>
        <w:t>discussion.</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Capital Requirements</w:t>
      </w:r>
    </w:p>
    <w:p>
      <w:pPr>
        <w:sectPr>
          <w:pgSz w:w="11900" w:h="16838" w:orient="portrait"/>
          <w:cols w:equalWidth="0" w:num="1">
            <w:col w:w="9019"/>
          </w:cols>
          <w:pgMar w:left="1440" w:top="94" w:right="1440" w:bottom="0" w:gutter="0" w:footer="0" w:header="0"/>
          <w:type w:val="continuous"/>
        </w:sectPr>
      </w:pPr>
    </w:p>
    <w:p>
      <w:pPr>
        <w:spacing w:after="0" w:line="142" w:lineRule="exact"/>
        <w:rPr>
          <w:sz w:val="20"/>
          <w:szCs w:val="20"/>
          <w:color w:val="auto"/>
        </w:rPr>
      </w:pPr>
    </w:p>
    <w:p>
      <w:pPr>
        <w:ind w:left="1160" w:right="1399" w:firstLine="258"/>
        <w:spacing w:after="0" w:line="263" w:lineRule="auto"/>
        <w:rPr>
          <w:sz w:val="20"/>
          <w:szCs w:val="20"/>
          <w:color w:val="auto"/>
        </w:rPr>
      </w:pPr>
      <w:r>
        <w:rPr>
          <w:rFonts w:ascii="Times New Roman" w:cs="Times New Roman" w:eastAsia="Times New Roman" w:hAnsi="Times New Roman"/>
          <w:sz w:val="14"/>
          <w:szCs w:val="14"/>
          <w:color w:val="auto"/>
        </w:rPr>
        <w:t>Our capital requirements for 2026 and beyond are expected to remain substantial as we advance multiple geothermal projects toward commercial operation, including Cape Station. While we have not yet achieved significant revenue generation, we anticipate our funding needs will include continued capital expenditures for projects under construction, such as Cape Station, exploration and development costs for new geothermal sites across our 595,900 acre portfolio, operating expenses as we scale our organization and technical capabilities and working capital to support expanded operations.</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Capital expenditures over the next 12 months are projected to total approximately $1.2 billion, driven by drilling, well completion, and continued construction activities at Cape Station as well as early development of other GeoClusters. Of this amount, approximately $125.0 million relates to our Cape Station Phase I facility and $940.0 million relates to our Cape Station Phase II facility.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Based on current conditions, we believe that our capital resources are sufficient to meet our financial obligations</w:t>
      </w:r>
    </w:p>
    <w:p>
      <w:pPr>
        <w:spacing w:after="0" w:line="25" w:lineRule="exact"/>
        <w:rPr>
          <w:sz w:val="20"/>
          <w:szCs w:val="20"/>
          <w:color w:val="auto"/>
        </w:rPr>
      </w:pPr>
    </w:p>
    <w:p>
      <w:pPr>
        <w:jc w:val="both"/>
        <w:ind w:left="1160" w:right="1339"/>
        <w:spacing w:after="0" w:line="264" w:lineRule="auto"/>
        <w:rPr>
          <w:sz w:val="20"/>
          <w:szCs w:val="20"/>
          <w:color w:val="auto"/>
        </w:rPr>
      </w:pPr>
      <w:r>
        <w:rPr>
          <w:rFonts w:ascii="Times New Roman" w:cs="Times New Roman" w:eastAsia="Times New Roman" w:hAnsi="Times New Roman"/>
          <w:sz w:val="14"/>
          <w:szCs w:val="14"/>
          <w:color w:val="auto"/>
        </w:rPr>
        <w:t>and fund our planned development activities for at least the next 12 months . As a company with significant developmental activities transitioning toward commercial operations, we continue to rely on external financing to fund our operations and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0" w:type="dxa"/>
            <w:vAlign w:val="bottom"/>
          </w:tcPr>
          <w:p>
            <w:pPr>
              <w:jc w:val="right"/>
              <w:ind w:right="4208"/>
              <w:spacing w:after="0"/>
              <w:rPr>
                <w:sz w:val="20"/>
                <w:szCs w:val="20"/>
                <w:color w:val="auto"/>
              </w:rPr>
            </w:pPr>
            <w:r>
              <w:rPr>
                <w:rFonts w:ascii="Times New Roman" w:cs="Times New Roman" w:eastAsia="Times New Roman" w:hAnsi="Times New Roman"/>
                <w:sz w:val="14"/>
                <w:szCs w:val="14"/>
                <w:color w:val="auto"/>
              </w:rPr>
              <w:t>109</w:t>
            </w:r>
          </w:p>
        </w:tc>
      </w:tr>
      <w:tr>
        <w:trPr>
          <w:trHeight w:val="566"/>
        </w:trPr>
        <w:tc>
          <w:tcPr>
            <w:tcW w:w="1060" w:type="dxa"/>
            <w:vAlign w:val="bottom"/>
            <w:tcBorders>
              <w:bottom w:val="single" w:sz="8" w:color="CCCCCC"/>
            </w:tcBorders>
          </w:tcPr>
          <w:p>
            <w:pPr>
              <w:spacing w:after="0"/>
              <w:rPr>
                <w:sz w:val="24"/>
                <w:szCs w:val="24"/>
                <w:color w:val="auto"/>
              </w:rPr>
            </w:pPr>
          </w:p>
        </w:tc>
        <w:tc>
          <w:tcPr>
            <w:tcW w:w="1020" w:type="dxa"/>
            <w:vAlign w:val="bottom"/>
            <w:tcBorders>
              <w:bottom w:val="single" w:sz="8" w:color="CCCCCC"/>
            </w:tcBorders>
          </w:tcPr>
          <w:p>
            <w:pPr>
              <w:spacing w:after="0"/>
              <w:rPr>
                <w:sz w:val="24"/>
                <w:szCs w:val="24"/>
                <w:color w:val="auto"/>
              </w:rPr>
            </w:pPr>
          </w:p>
        </w:tc>
        <w:tc>
          <w:tcPr>
            <w:tcW w:w="1920" w:type="dxa"/>
            <w:vAlign w:val="bottom"/>
            <w:tcBorders>
              <w:bottom w:val="single" w:sz="8" w:color="CCCCCC"/>
            </w:tcBorders>
          </w:tcPr>
          <w:p>
            <w:pPr>
              <w:spacing w:after="0"/>
              <w:rPr>
                <w:sz w:val="24"/>
                <w:szCs w:val="24"/>
                <w:color w:val="auto"/>
              </w:rPr>
            </w:pPr>
          </w:p>
        </w:tc>
        <w:tc>
          <w:tcPr>
            <w:tcW w:w="4800" w:type="dxa"/>
            <w:vAlign w:val="bottom"/>
            <w:tcBorders>
              <w:bottom w:val="single" w:sz="8" w:color="CCCCCC"/>
            </w:tcBorders>
          </w:tcPr>
          <w:p>
            <w:pPr>
              <w:spacing w:after="0"/>
              <w:rPr>
                <w:sz w:val="24"/>
                <w:szCs w:val="24"/>
                <w:color w:val="auto"/>
              </w:rPr>
            </w:pPr>
          </w:p>
        </w:tc>
      </w:tr>
      <w:tr>
        <w:trPr>
          <w:trHeight w:val="98"/>
        </w:trPr>
        <w:tc>
          <w:tcPr>
            <w:tcW w:w="1060" w:type="dxa"/>
            <w:vAlign w:val="bottom"/>
            <w:tcBorders>
              <w:bottom w:val="single" w:sz="8" w:color="CCCCCC"/>
            </w:tcBorders>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4800" w:type="dxa"/>
            <w:vAlign w:val="bottom"/>
            <w:tcBorders>
              <w:bottom w:val="single" w:sz="8" w:color="CCCCCC"/>
            </w:tcBorders>
          </w:tcPr>
          <w:p>
            <w:pPr>
              <w:spacing w:after="0"/>
              <w:rPr>
                <w:sz w:val="8"/>
                <w:szCs w:val="8"/>
                <w:color w:val="auto"/>
              </w:rPr>
            </w:pPr>
          </w:p>
        </w:tc>
      </w:tr>
      <w:tr>
        <w:trPr>
          <w:trHeight w:val="296"/>
        </w:trPr>
        <w:tc>
          <w:tcPr>
            <w:tcW w:w="1060" w:type="dxa"/>
            <w:vAlign w:val="bottom"/>
          </w:tcPr>
          <w:p>
            <w:pPr>
              <w:spacing w:after="0"/>
              <w:rPr>
                <w:sz w:val="24"/>
                <w:szCs w:val="24"/>
                <w:color w:val="auto"/>
              </w:rPr>
            </w:pPr>
          </w:p>
        </w:tc>
        <w:tc>
          <w:tcPr>
            <w:tcW w:w="1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19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849"/>
        </w:trPr>
        <w:tc>
          <w:tcPr>
            <w:tcW w:w="1060" w:type="dxa"/>
            <w:vAlign w:val="bottom"/>
          </w:tcPr>
          <w:p>
            <w:pPr>
              <w:spacing w:after="0"/>
              <w:rPr>
                <w:sz w:val="24"/>
                <w:szCs w:val="24"/>
                <w:color w:val="auto"/>
              </w:rPr>
            </w:pP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tc>
        <w:tc>
          <w:tcPr>
            <w:tcW w:w="4800" w:type="dxa"/>
            <w:vAlign w:val="bottom"/>
          </w:tcPr>
          <w:p>
            <w:pPr>
              <w:spacing w:after="0"/>
              <w:rPr>
                <w:sz w:val="24"/>
                <w:szCs w:val="24"/>
                <w:color w:val="auto"/>
              </w:rPr>
            </w:pPr>
          </w:p>
        </w:tc>
      </w:tr>
      <w:tr>
        <w:trPr>
          <w:trHeight w:val="301"/>
        </w:trPr>
        <w:tc>
          <w:tcPr>
            <w:tcW w:w="1060" w:type="dxa"/>
            <w:vAlign w:val="bottom"/>
          </w:tcPr>
          <w:p>
            <w:pPr>
              <w:spacing w:after="0"/>
              <w:rPr>
                <w:sz w:val="24"/>
                <w:szCs w:val="24"/>
                <w:color w:val="auto"/>
              </w:rPr>
            </w:pP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XRC Facility</w:t>
            </w:r>
          </w:p>
        </w:tc>
        <w:tc>
          <w:tcPr>
            <w:tcW w:w="4800" w:type="dxa"/>
            <w:vAlign w:val="bottom"/>
          </w:tcPr>
          <w:p>
            <w:pPr>
              <w:spacing w:after="0"/>
              <w:rPr>
                <w:sz w:val="24"/>
                <w:szCs w:val="24"/>
                <w:color w:val="auto"/>
              </w:rPr>
            </w:pPr>
          </w:p>
        </w:tc>
      </w:tr>
      <w:tr>
        <w:trPr>
          <w:trHeight w:val="301"/>
        </w:trPr>
        <w:tc>
          <w:tcPr>
            <w:tcW w:w="1060" w:type="dxa"/>
            <w:vAlign w:val="bottom"/>
          </w:tcPr>
          <w:p>
            <w:pPr>
              <w:spacing w:after="0"/>
              <w:rPr>
                <w:sz w:val="24"/>
                <w:szCs w:val="24"/>
                <w:color w:val="auto"/>
              </w:rPr>
            </w:pP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During the  year ended December 31, 2024</w:t>
            </w:r>
          </w:p>
        </w:tc>
        <w:tc>
          <w:tcPr>
            <w:tcW w:w="4800" w:type="dxa"/>
            <w:vAlign w:val="bottom"/>
          </w:tcPr>
          <w:p>
            <w:pPr>
              <w:jc w:val="right"/>
              <w:ind w:right="1468"/>
              <w:spacing w:after="0"/>
              <w:rPr>
                <w:sz w:val="20"/>
                <w:szCs w:val="20"/>
                <w:color w:val="auto"/>
              </w:rPr>
            </w:pPr>
            <w:r>
              <w:rPr>
                <w:rFonts w:ascii="Times New Roman" w:cs="Times New Roman" w:eastAsia="Times New Roman" w:hAnsi="Times New Roman"/>
                <w:sz w:val="14"/>
                <w:szCs w:val="14"/>
                <w:color w:val="auto"/>
              </w:rPr>
              <w:t>, Cape Generating Station 3 LLC and Cape Generating</w:t>
            </w:r>
          </w:p>
        </w:tc>
      </w:tr>
    </w:tbl>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Station 5 LLC, two of our wholly owned subsidiaries, issued two promissory notes under the XRC Facility, and during the year ended December 31, 2025 , we issued an additional promissory note. As of December 31, 2025 , the XRC Facility consisted of three tranches totaling $145.6 million in commitments. Each tranche was set to mature in 2027, with an option for two additional one-year extensions upon lender approval. As of December 31, 2025 $145.6 million was drawn under the XRC Facility.</w:t>
      </w:r>
    </w:p>
    <w:p>
      <w:pPr>
        <w:spacing w:after="0" w:line="102"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The XRC Facility contained certain restrictive covenants, including covenants restricting our ability to incur or assume additional indebtedness, grant or assume liens, engage in fundamental changes such as mergers, consolidations, liquidations, or the sale of substantially all assets, make restricted payments, modify project documents in ways materially adverse to the lender, engage in transactions with affiliates, or enter into restrictive agreements.</w:t>
      </w:r>
    </w:p>
    <w:p>
      <w:pPr>
        <w:spacing w:after="0" w:line="99" w:lineRule="exact"/>
        <w:rPr>
          <w:sz w:val="20"/>
          <w:szCs w:val="20"/>
          <w:color w:val="auto"/>
        </w:rPr>
      </w:pPr>
    </w:p>
    <w:p>
      <w:pPr>
        <w:ind w:left="1160" w:right="1199" w:firstLine="258"/>
        <w:spacing w:after="0" w:line="285" w:lineRule="auto"/>
        <w:rPr>
          <w:sz w:val="20"/>
          <w:szCs w:val="20"/>
          <w:color w:val="auto"/>
        </w:rPr>
      </w:pPr>
      <w:r>
        <w:rPr>
          <w:rFonts w:ascii="Times New Roman" w:cs="Times New Roman" w:eastAsia="Times New Roman" w:hAnsi="Times New Roman"/>
          <w:sz w:val="14"/>
          <w:szCs w:val="14"/>
          <w:color w:val="auto"/>
        </w:rPr>
        <w:t>The XRC Facility contained customary events of default. If an event of default occurred, the lender was permitted to cease making any further loan advances and/or declare all outstanding obligations immediately due and payable.</w:t>
      </w:r>
    </w:p>
    <w:p>
      <w:pPr>
        <w:spacing w:after="0" w:line="262" w:lineRule="exact"/>
        <w:rPr>
          <w:sz w:val="20"/>
          <w:szCs w:val="20"/>
          <w:color w:val="auto"/>
        </w:rPr>
      </w:pPr>
    </w:p>
    <w:p>
      <w:pPr>
        <w:ind w:left="1160" w:right="1599" w:firstLine="258"/>
        <w:spacing w:after="0" w:line="292" w:lineRule="auto"/>
        <w:rPr>
          <w:sz w:val="20"/>
          <w:szCs w:val="20"/>
          <w:color w:val="auto"/>
        </w:rPr>
      </w:pPr>
      <w:r>
        <w:rPr>
          <w:rFonts w:ascii="Times New Roman" w:cs="Times New Roman" w:eastAsia="Times New Roman" w:hAnsi="Times New Roman"/>
          <w:sz w:val="14"/>
          <w:szCs w:val="14"/>
          <w:color w:val="auto"/>
        </w:rPr>
        <w:t>On April 14, 2026, we repaid all outstanding balances under the XRC Facility, and the XRC Facility was terminated.</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Mercuria Credit Agreement and Credit Facility</w:t>
      </w:r>
    </w:p>
    <w:p>
      <w:pPr>
        <w:spacing w:after="0" w:line="142"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During the year ended December 31, 2024 , Fervo HoldCo LLC, one of our wholly owned subsidiaries, entered into a $40.0 million Credit Agreement and $80.0 million Credit Facility with Mercuria. In May 2025, the Credit Agreement was amended to increase the term loan from $40.0 million to $100.0 million. As of December 31, 2025 , we had drawn $30.0 million against the Credit Agreement and utilized $35.5 million against the Credit Facility. The Credit Agreement matures in 2027, while the Credit Facility matures on the earlier of November 20, 2027 or upon acceleration of its obligations due to an event of default.</w:t>
      </w:r>
    </w:p>
    <w:p>
      <w:pPr>
        <w:spacing w:after="0" w:line="101"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The Credit Agreement requires compliance with financial covenants including maintaining a net asset value to total exposure amount ratio of at least 2.5 to 1.0, a total debt to equity capital contributions plus total debt ratio not exceeding 0.6 to 1.0, and a total exposure amount to total consolidated capital ratio not exceeding 0.4 to 1.0.</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Both agreements contain covenants that restrict our ability to incur additional indebtedness on pledged entities,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grant liens, make restricted payments or investments beyond those existing at the effective date, engage in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fundamental changes such as mergers or asset sales, conduct affiliate transactions, enter swap agreements outside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ordinary course of business, modify organizational documents adversely to lenders, or change our business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nature. Furthermore, under the terms of the Credit Agreement, our wholly owned subsidiary Fervo HoldCo LLC,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borrower, is restricted from making cash distributions to Fervo Energy Company, our parent company. See  Note 8 –</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Common Stock of the notes to consolidated financial statements, for further discussion of our restricted net assets.</w:t>
      </w:r>
    </w:p>
    <w:p>
      <w:pPr>
        <w:spacing w:after="0" w:line="126"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Credit Agreement and Credit Facility contain customary events of default. If an event of default occurs, the lender may declare the commitments to be zero and/or declare all outstanding obligations immediately due and payable.</w:t>
      </w:r>
    </w:p>
    <w:p>
      <w:pPr>
        <w:spacing w:after="0" w:line="93" w:lineRule="exact"/>
        <w:rPr>
          <w:sz w:val="20"/>
          <w:szCs w:val="20"/>
          <w:color w:val="auto"/>
        </w:rPr>
      </w:pPr>
    </w:p>
    <w:p>
      <w:pPr>
        <w:jc w:val="center"/>
        <w:ind w:right="-40"/>
        <w:spacing w:after="0"/>
        <w:tabs>
          <w:tab w:leader="none" w:pos="100" w:val="left"/>
        </w:tabs>
        <w:rPr>
          <w:sz w:val="20"/>
          <w:szCs w:val="20"/>
          <w:color w:val="auto"/>
        </w:rPr>
      </w:pPr>
      <w:r>
        <w:rPr>
          <w:rFonts w:ascii="Times New Roman" w:cs="Times New Roman" w:eastAsia="Times New Roman" w:hAnsi="Times New Roman"/>
          <w:sz w:val="14"/>
          <w:szCs w:val="14"/>
          <w:color w:val="auto"/>
        </w:rPr>
        <w:t>As of December 31, 2025  , we were</w:t>
        <w:tab/>
        <w:t>in compliance with all restrictive and financial covenants. For further</w:t>
      </w:r>
    </w:p>
    <w:p>
      <w:pPr>
        <w:sectPr>
          <w:pgSz w:w="11900" w:h="16838" w:orient="portrait"/>
          <w:cols w:equalWidth="0" w:num="1">
            <w:col w:w="9019"/>
          </w:cols>
          <w:pgMar w:left="1440" w:top="94" w:right="1440" w:bottom="0" w:gutter="0" w:footer="0" w:header="0"/>
          <w:type w:val="continuous"/>
        </w:sectPr>
      </w:pPr>
    </w:p>
    <w:bookmarkStart w:id="80" w:name="page81"/>
    <w:bookmarkEnd w:id="80"/>
    <w:p>
      <w:pPr>
        <w:spacing w:after="0" w:line="109" w:lineRule="exact"/>
        <w:rPr>
          <w:sz w:val="20"/>
          <w:szCs w:val="20"/>
          <w:color w:val="auto"/>
        </w:rPr>
      </w:pPr>
    </w:p>
    <w:p>
      <w:pPr>
        <w:ind w:left="1160" w:right="1159"/>
        <w:spacing w:after="0" w:line="233" w:lineRule="auto"/>
        <w:rPr>
          <w:sz w:val="20"/>
          <w:szCs w:val="20"/>
          <w:color w:val="auto"/>
        </w:rPr>
      </w:pPr>
      <w:r>
        <w:rPr>
          <w:rFonts w:ascii="Times New Roman" w:cs="Times New Roman" w:eastAsia="Times New Roman" w:hAnsi="Times New Roman"/>
          <w:sz w:val="14"/>
          <w:szCs w:val="14"/>
          <w:color w:val="auto"/>
        </w:rPr>
        <w:t>discussion of our indebtedness, see Note 3 – Debt and Off-Balance Sheet Arrangements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Project Granite Facility</w:t>
      </w:r>
    </w:p>
    <w:p>
      <w:pPr>
        <w:spacing w:after="0" w:line="142"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In March 2026, our subsidiaries entered into a senior secured credit agreement to finance the development of our Cape Station Phase I project. The facility provides for aggregate commitments of approximately $421.4 million,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74" w:lineRule="auto"/>
        <w:rPr>
          <w:sz w:val="20"/>
          <w:szCs w:val="20"/>
          <w:color w:val="auto"/>
        </w:rPr>
      </w:pPr>
      <w:r>
        <w:rPr>
          <w:rFonts w:ascii="Times New Roman" w:cs="Times New Roman" w:eastAsia="Times New Roman" w:hAnsi="Times New Roman"/>
          <w:sz w:val="14"/>
          <w:szCs w:val="14"/>
          <w:color w:val="auto"/>
        </w:rPr>
        <w:t>consisting of (i) a construction loan facility, (ii) a tax credit transfer bridge loan facility, (iii) multiple letter of credit facilities, and (iv) a term loan facility that will refinance the construction loans upon satisfaction of specified conversion conditions.</w:t>
      </w:r>
    </w:p>
    <w:p>
      <w:pPr>
        <w:spacing w:after="0" w:line="9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Borrowings under the Project Granite Facility will be available during the construction period, subject to certain conditions precedent. Following completion of the project and achievement of specified operational and performance criteria, the construction loans are expected to convert into term loans with an amortization profile sized to projected cash flows from the project. We used a portion of the proceeds of the Project Granite Facility to repay all amounts outstanding under the XRC Facility, and the remaining proceeds of the Project Granite Facility will, among other things, fund remaining Cape Station Phase I construction costs and potentially provide for an equity recapitalization.</w:t>
      </w:r>
    </w:p>
    <w:p>
      <w:pPr>
        <w:spacing w:after="0" w:line="277"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The Project Granite Facility contains customary affirmative and negative covenants for a project financing of this type. These covenants, among other things, require the project entities to comply with construction budget and schedule requirements, satisfy testing and conversion conditions prior to transitioning to term debt, maintain required reserves (including debt service and major maintenance reserves), and operate the project in accordance with the applicable material project documents. The facility also includes a cash management structure pursuant to which project revenues are applied in a specified priority of payments, and distributions are subject to the satisfaction of specified conditions.</w:t>
      </w:r>
    </w:p>
    <w:p>
      <w:pPr>
        <w:spacing w:after="0" w:line="101" w:lineRule="exact"/>
        <w:rPr>
          <w:sz w:val="20"/>
          <w:szCs w:val="20"/>
          <w:color w:val="auto"/>
        </w:rPr>
      </w:pPr>
    </w:p>
    <w:p>
      <w:pPr>
        <w:jc w:val="both"/>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Additionally certain covenants restrict the ability of project entities to incur indebtedness, create liens, make investments, enter into mergers or other fundamental changes, dispose of assets outside of permitted dispositions, enter into non-arm’s-length affiliate transactions, and engage in business activities other than those related to the development and operation of the project.</w:t>
      </w:r>
    </w:p>
    <w:p>
      <w:pPr>
        <w:spacing w:after="0" w:line="97"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The facility includes customary events of default, including payment defaults, covenant breaches, insolvency events, and failure to meet construction or operational milestones. Upon an event of default, the lenders may accelerate the obligations and exercise remedies against the collateral.</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Operating Losses (“NOL”) and Valuation Allowance</w:t>
      </w:r>
    </w:p>
    <w:p>
      <w:pPr>
        <w:spacing w:after="0" w:line="144"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We have significant NOLs that may provide future offset to taxable income during the applicable carryover periods. As of December 31, 2025 , we had approximately $85.7 million of net operating loss carryforward for Federal tax purposes, all of which are indefinitely lived. See Note 18 – Income Taxes of the notes to consolidated financial statements for further discussion of our NOLs and valuation allowance.</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Cash Flow Activities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our cash flow activities: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5"/>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Beginningcash,cashequivalentsandrestrictedcash</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29,115</w:t>
            </w: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Operating activities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(54,748)</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Investing activities</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(465,659)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(178,693)</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Financing activities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765,824</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403,754</w:t>
            </w:r>
          </w:p>
        </w:tc>
      </w:tr>
      <w:tr>
        <w:trPr>
          <w:trHeight w:val="180"/>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Netincreaseincash,cashequivalentsandrestrictedcash</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268,408</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170,313</w:t>
            </w:r>
          </w:p>
        </w:tc>
      </w:tr>
      <w:tr>
        <w:trPr>
          <w:trHeight w:val="191"/>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Endingcash,cashequivalentsandrestrictedcash</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467,836</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Net cash used in operating activities decreased by $23.0 million in 2025 compared to 2024, primarily driven by our operating losses and timing of payments and receipts related to our operating assets and liabilities. Net loss, excluding non-cash activities, was $ 43.8 million in 2025 compared to $34.8 million in 2024, which contributed to a</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 million increase in cash used in operating activities. Such increase was primarily associated with the elevated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general and administrative expenses, interest expense, and other non-operating expense as described in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FF"/>
        </w:rPr>
        <w:t>Management Discussion and Analysis of Financial Condition and Results of Operations</w:t>
      </w:r>
      <w:r>
        <w:rPr>
          <w:rFonts w:ascii="Times New Roman" w:cs="Times New Roman" w:eastAsia="Times New Roman" w:hAnsi="Times New Roman"/>
          <w:sz w:val="14"/>
          <w:szCs w:val="14"/>
          <w:color w:val="auto"/>
        </w:rPr>
        <w:t xml:space="preserve"> — Results of Operations”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section above.</w:t>
      </w:r>
    </w:p>
    <w:p>
      <w:pPr>
        <w:spacing w:after="0" w:line="126" w:lineRule="exact"/>
        <w:rPr>
          <w:sz w:val="20"/>
          <w:szCs w:val="20"/>
          <w:color w:val="auto"/>
        </w:rPr>
      </w:pPr>
    </w:p>
    <w:p>
      <w:pPr>
        <w:jc w:val="both"/>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Changes in operating assets and liabilities resulted in a $ 12.1 million source of cash in 2025 compared to a $19.9 million use of cash in 2024, representing a $ 32.0 million year-over-year improvement. Cash from deposits improved by $ 16.9 million, largely reflecting higher releases and refunds of performance bond deposits in 2025.</w:t>
      </w:r>
    </w:p>
    <w:p>
      <w:pPr>
        <w:spacing w:after="0" w:line="2" w:lineRule="exact"/>
        <w:rPr>
          <w:sz w:val="20"/>
          <w:szCs w:val="20"/>
          <w:color w:val="auto"/>
        </w:rPr>
      </w:pPr>
    </w:p>
    <w:p>
      <w:pPr>
        <w:ind w:left="1160" w:right="1159"/>
        <w:spacing w:after="0" w:line="264" w:lineRule="auto"/>
        <w:rPr>
          <w:sz w:val="20"/>
          <w:szCs w:val="20"/>
          <w:color w:val="auto"/>
        </w:rPr>
      </w:pPr>
      <w:r>
        <w:rPr>
          <w:rFonts w:ascii="Times New Roman" w:cs="Times New Roman" w:eastAsia="Times New Roman" w:hAnsi="Times New Roman"/>
          <w:sz w:val="14"/>
          <w:szCs w:val="14"/>
          <w:color w:val="auto"/>
        </w:rPr>
        <w:t>Cash from other operating assets improved by $7.4 million as such cash outflows recorded in 2024 did not recur in 2025. Cash from prepaid expenses and other improved by $5.2 million, reflecting lower up-front vendor payments in 2025, and cash from other current liabilities improved by $ 7.0 million due to an increase in accrued expenses</w:t>
      </w:r>
    </w:p>
    <w:p>
      <w:pPr>
        <w:sectPr>
          <w:pgSz w:w="11900" w:h="16947" w:orient="portrait"/>
          <w:cols w:equalWidth="0" w:num="1">
            <w:col w:w="9019"/>
          </w:cols>
          <w:pgMar w:left="1440" w:top="94" w:right="1440" w:bottom="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resulting from the timing of cash payments for operating costs incurred during the year. Cash from grant receivables</w:t>
      </w:r>
    </w:p>
    <w:p>
      <w:pPr>
        <w:spacing w:after="0" w:line="25" w:lineRule="exact"/>
        <w:rPr>
          <w:sz w:val="20"/>
          <w:szCs w:val="20"/>
          <w:color w:val="auto"/>
        </w:rPr>
      </w:pPr>
    </w:p>
    <w:p>
      <w:pPr>
        <w:ind w:left="1160" w:right="1219"/>
        <w:spacing w:after="0" w:line="261" w:lineRule="auto"/>
        <w:rPr>
          <w:sz w:val="20"/>
          <w:szCs w:val="20"/>
          <w:color w:val="auto"/>
        </w:rPr>
      </w:pPr>
      <w:r>
        <w:rPr>
          <w:rFonts w:ascii="Times New Roman" w:cs="Times New Roman" w:eastAsia="Times New Roman" w:hAnsi="Times New Roman"/>
          <w:sz w:val="14"/>
          <w:szCs w:val="14"/>
          <w:color w:val="auto"/>
        </w:rPr>
        <w:t>improved by $ 1.8 million as grant receivables outstanding at December 31, 2024 were collected. These improvements were partially offset by an unfavorable $ 6.4 million cash movement related to accounts payable due to higher cash settlements of previously accrued obligations associated with elevated spend on general and administrative expenses in 2025.</w:t>
      </w:r>
    </w:p>
    <w:p>
      <w:pPr>
        <w:spacing w:after="0" w:line="71" w:lineRule="exact"/>
        <w:rPr>
          <w:sz w:val="20"/>
          <w:szCs w:val="20"/>
          <w:color w:val="auto"/>
        </w:rPr>
      </w:pPr>
    </w:p>
    <w:p>
      <w:pPr>
        <w:ind w:left="1160" w:right="1159" w:firstLine="258"/>
        <w:spacing w:after="0" w:line="187" w:lineRule="exact"/>
        <w:rPr>
          <w:sz w:val="20"/>
          <w:szCs w:val="20"/>
          <w:color w:val="auto"/>
        </w:rPr>
      </w:pPr>
      <w:r>
        <w:rPr>
          <w:rFonts w:ascii="Times New Roman" w:cs="Times New Roman" w:eastAsia="Times New Roman" w:hAnsi="Times New Roman"/>
          <w:sz w:val="14"/>
          <w:szCs w:val="14"/>
          <w:color w:val="auto"/>
        </w:rPr>
        <w:t>Overall, the year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over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change in operating cash flows reflects higher cash operating losses from scaling the business combined with working capital timing effects, consistent with our transition from development to construction ahead of initial commercial operations.</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142"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Cash used in investing activities in 2025 and 2024 related entirely to capital expenditures, which increased by $287.0 million in 2025 compared to 2024.</w:t>
      </w:r>
    </w:p>
    <w:p>
      <w:pPr>
        <w:spacing w:after="0" w:line="81"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This increase reflects accelerated project development activities as we advanced multiple geothermal projects toward construction and operation. Capital expenditures during 2025 were driven primarily by construction activities at Cape Station, including the drilling and completion of production and injection wells, development of surface facilities, and construction of related infrastructure necessary to support future commercial power generation.</w:t>
      </w:r>
    </w:p>
    <w:p>
      <w:pPr>
        <w:spacing w:after="0" w:line="66" w:lineRule="exact"/>
        <w:rPr>
          <w:sz w:val="20"/>
          <w:szCs w:val="20"/>
          <w:color w:val="auto"/>
        </w:rPr>
      </w:pPr>
    </w:p>
    <w:p>
      <w:pPr>
        <w:ind w:left="1160" w:right="1179" w:firstLine="258"/>
        <w:spacing w:after="0" w:line="194" w:lineRule="exact"/>
        <w:rPr>
          <w:sz w:val="20"/>
          <w:szCs w:val="20"/>
          <w:color w:val="auto"/>
        </w:rPr>
      </w:pPr>
      <w:r>
        <w:rPr>
          <w:rFonts w:ascii="Times New Roman" w:cs="Times New Roman" w:eastAsia="Times New Roman" w:hAnsi="Times New Roman"/>
          <w:sz w:val="14"/>
          <w:szCs w:val="14"/>
          <w:color w:val="auto"/>
        </w:rPr>
        <w:t>Of our total capital expenditures in 2025, the majority of spending was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discretionary, necessary to advance projects already under development rather than discretionary or maintenance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spending. They consisted of costs required to complete 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process projects, satisfy regulatory and safety requirements, and meet contractual milestones.</w:t>
      </w:r>
    </w:p>
    <w:p>
      <w:pPr>
        <w:spacing w:after="0" w:line="2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Net Cash Provided by Financing Activities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Net cash provided by financing activities increased by $362.1 million in 2025 compared to 2024.</w:t>
      </w:r>
    </w:p>
    <w:p>
      <w:pPr>
        <w:spacing w:after="0" w:line="140"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Net cash provided by financing activities during 2025 was attributable to significant equity and debt financing transactions completed during the year. Cash inflows included $461.4 million of net proceeds from our Series E preferred stock financing, $99.5 million of net proceeds from a preferred stock issuance with Catalyst, $ 74.5 million of net proceeds from a preferred stock and warrants issuance with Centaurus and $0.5 million of proceeds from the issuance of common stock. In addition, we received $103.1 million of net proceeds from our XRC Facility and $28.8 million of net proceeds under our Credit Agreement and Credit Facility. These financing inflows were partially offset $1.9 million of cash used for the repurchase of treasury stock during the year.</w:t>
      </w:r>
    </w:p>
    <w:p>
      <w:pPr>
        <w:spacing w:after="0" w:line="101" w:lineRule="exact"/>
        <w:rPr>
          <w:sz w:val="20"/>
          <w:szCs w:val="20"/>
          <w:color w:val="auto"/>
        </w:rPr>
      </w:pPr>
    </w:p>
    <w:p>
      <w:pPr>
        <w:ind w:left="1160" w:right="1279" w:firstLine="258"/>
        <w:spacing w:after="0" w:line="266" w:lineRule="auto"/>
        <w:rPr>
          <w:sz w:val="20"/>
          <w:szCs w:val="20"/>
          <w:color w:val="auto"/>
        </w:rPr>
      </w:pPr>
      <w:r>
        <w:rPr>
          <w:rFonts w:ascii="Times New Roman" w:cs="Times New Roman" w:eastAsia="Times New Roman" w:hAnsi="Times New Roman"/>
          <w:sz w:val="14"/>
          <w:szCs w:val="14"/>
          <w:color w:val="auto"/>
        </w:rPr>
        <w:t>Net cash provided by financing activities during 2024 primarily reflected proceeds from equity and debt financings completed during the year, including $366.6 million of net proceeds from the Series D preferred stock</w:t>
      </w:r>
    </w:p>
    <w:p>
      <w:pPr>
        <w:spacing w:after="0" w:line="1" w:lineRule="exact"/>
        <w:rPr>
          <w:sz w:val="20"/>
          <w:szCs w:val="20"/>
          <w:color w:val="auto"/>
        </w:rPr>
      </w:pPr>
    </w:p>
    <w:p>
      <w:pPr>
        <w:ind w:left="1160" w:right="1159"/>
        <w:spacing w:after="0" w:line="264" w:lineRule="auto"/>
        <w:rPr>
          <w:sz w:val="20"/>
          <w:szCs w:val="20"/>
          <w:color w:val="auto"/>
        </w:rPr>
      </w:pPr>
      <w:r>
        <w:rPr>
          <w:rFonts w:ascii="Times New Roman" w:cs="Times New Roman" w:eastAsia="Times New Roman" w:hAnsi="Times New Roman"/>
          <w:sz w:val="14"/>
          <w:szCs w:val="14"/>
          <w:color w:val="auto"/>
        </w:rPr>
        <w:t>financing and $36.6 million of net proceeds from the establishment of XRC Facility. In addition, w e received $0.5 million of proceeds from the issuance of Simple Agreement for Future Equity (“SAFE”) and $0.1 million of proceeds from the issuance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Commitments</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cash requirements under contractual commitments include purchase commitments, repayments of long-term debt and related interest, and payments relating to our operating leases. We have several outstanding contractual commitments with suppliers to obtain materials and services to support our operations. As of December 31, 2025, we had contractual commitments of $528.8 million, a majority of which relates to our Cape Station Phase I and Cape Station Phase II facilities. Of this amount, $346.5 million is due in 2026 and $182.3 million is due thereafter. Such obligations represent the minimum amounts contractually required under the applicable agreements as of December 31, 2025 . See Note 3 – Debt and Off-Balance Sheet Arrangements , Note 6 – Leases and Note 21 – Commitments and Contingencies of the notes to consolidated financial statements , for further information on our commitments.</w:t>
      </w: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also have distribution requirements under the Catalyst and Centaurus Financing Agreements. See</w:t>
      </w:r>
    </w:p>
    <w:p>
      <w:pPr>
        <w:spacing w:after="0" w:line="25" w:lineRule="exact"/>
        <w:rPr>
          <w:sz w:val="20"/>
          <w:szCs w:val="20"/>
          <w:color w:val="auto"/>
        </w:rPr>
      </w:pPr>
    </w:p>
    <w:p>
      <w:pPr>
        <w:ind w:left="1160"/>
        <w:spacing w:after="0"/>
        <w:tabs>
          <w:tab w:leader="none" w:pos="64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FF"/>
        </w:rPr>
        <w:t>Management Discussion and Analysis of Financial Condition and Results of Operations</w:t>
      </w:r>
      <w:r>
        <w:rPr>
          <w:rFonts w:ascii="Times New Roman" w:cs="Times New Roman" w:eastAsia="Times New Roman" w:hAnsi="Times New Roman"/>
          <w:sz w:val="14"/>
          <w:szCs w:val="14"/>
          <w:color w:val="auto"/>
        </w:rPr>
        <w:tab/>
        <w:t>— Sources and Uses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Liquidity — Catalyst and Centaurus Financing Agreements” for further information.</w:t>
      </w:r>
    </w:p>
    <w:p>
      <w:pPr>
        <w:spacing w:after="0" w:line="1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44" w:lineRule="exact"/>
        <w:rPr>
          <w:sz w:val="20"/>
          <w:szCs w:val="20"/>
          <w:color w:val="auto"/>
        </w:rPr>
      </w:pPr>
    </w:p>
    <w:p>
      <w:pPr>
        <w:ind w:left="1160" w:right="1179" w:firstLine="258"/>
        <w:spacing w:after="0" w:line="267" w:lineRule="auto"/>
        <w:rPr>
          <w:sz w:val="20"/>
          <w:szCs w:val="20"/>
          <w:color w:val="auto"/>
        </w:rPr>
      </w:pPr>
      <w:r>
        <w:rPr>
          <w:rFonts w:ascii="Times New Roman" w:cs="Times New Roman" w:eastAsia="Times New Roman" w:hAnsi="Times New Roman"/>
          <w:sz w:val="14"/>
          <w:szCs w:val="14"/>
          <w:color w:val="auto"/>
        </w:rPr>
        <w:t>In addition to the Credit Facility described above, we maintain surety bond arrangements to support our contractual obligations under PPAs, land development agreements, and construction contracts. As of December 31, 2025, we had $ 57.5 million in outstanding surety bonds. We expect our requirements for the Credit Facility and surety bonds to increase as we continue to develop our geothermal projects and enter into additional commercial agreements.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Qualitative and Quantitative Disclosures about Market Risk</w:t>
      </w:r>
    </w:p>
    <w:p>
      <w:pPr>
        <w:spacing w:after="0" w:line="142" w:lineRule="exact"/>
        <w:rPr>
          <w:sz w:val="20"/>
          <w:szCs w:val="20"/>
          <w:color w:val="auto"/>
        </w:rPr>
      </w:pPr>
    </w:p>
    <w:p>
      <w:pPr>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Market risk represents the risk of loss that may impact our financial position because of adverse changes in financial market prices and rates. We manage and monitor these exposures to ensure appropriate measures are implemented in a timely and effective manner.</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44"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Our exposure to interest rate risk relates to our cash investments and variable rate debt obligations, including the Credit Agreement, Credit Facility and Project Granite Facility. The Credit Agreement, if drawn, is subject to SOFR rate fluctuations. Assuming the outstanding balance of our variable-rate debt remained constant, a hypothetical 1.0%</w:t>
      </w:r>
    </w:p>
    <w:p>
      <w:pPr>
        <w:spacing w:after="0" w:line="2" w:lineRule="exact"/>
        <w:rPr>
          <w:sz w:val="20"/>
          <w:szCs w:val="20"/>
          <w:color w:val="auto"/>
        </w:rPr>
      </w:pPr>
    </w:p>
    <w:p>
      <w:pPr>
        <w:ind w:left="1160" w:right="1199"/>
        <w:spacing w:after="0" w:line="272" w:lineRule="auto"/>
        <w:rPr>
          <w:sz w:val="20"/>
          <w:szCs w:val="20"/>
          <w:color w:val="auto"/>
        </w:rPr>
      </w:pPr>
      <w:r>
        <w:rPr>
          <w:rFonts w:ascii="Times New Roman" w:cs="Times New Roman" w:eastAsia="Times New Roman" w:hAnsi="Times New Roman"/>
          <w:sz w:val="14"/>
          <w:szCs w:val="14"/>
          <w:color w:val="auto"/>
        </w:rPr>
        <w:t>change in interest rates would have resulted in a $1.8 million change in interest expense for the year ended December 31, 2025.</w:t>
      </w:r>
    </w:p>
    <w:p>
      <w:pPr>
        <w:spacing w:after="0" w:line="9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As of December 31, 2025 , approximately $442.0 million of our cash and cash equivalents were held in money market funds. While these investments are subject to interest rate fluctuations that may impact our interest income, we believe the short-term nature of these instruments and their high credit quality minimize our exposure to significant principal risk.</w:t>
      </w:r>
    </w:p>
    <w:p>
      <w:pPr>
        <w:sectPr>
          <w:pgSz w:w="11900" w:h="16838" w:orient="portrait"/>
          <w:cols w:equalWidth="0" w:num="1">
            <w:col w:w="9019"/>
          </w:cols>
          <w:pgMar w:left="1440" w:top="146" w:right="1440" w:bottom="0" w:gutter="0" w:footer="0" w:header="0"/>
        </w:sectPr>
      </w:pPr>
    </w:p>
    <w:bookmarkStart w:id="82" w:name="page83"/>
    <w:bookmarkEnd w:id="8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are exposed to inflation risk across our capital-intensive geothermal development activities, particularly in drilling services, specialized equipment, construction materials, and skilled labor costs. Our operating expenses, including professional services and personnel costs, are also subject to inflationary pressures. While our costs may increase with inflation, our long-term PPAs may provide limited inflation adjustments, potentially impacting our margins over time. We seek to mitigate these risks through fixed-price contracts where feasible and by incorporating inflation assumptions into our project planning, though the specialized nature of geothermal development limits our ability to fully hedge against inflation.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144" w:lineRule="exact"/>
        <w:rPr>
          <w:sz w:val="20"/>
          <w:szCs w:val="20"/>
          <w:color w:val="auto"/>
        </w:rPr>
      </w:pPr>
    </w:p>
    <w:p>
      <w:pPr>
        <w:ind w:left="1160" w:right="1619" w:firstLine="258"/>
        <w:spacing w:after="0" w:line="292" w:lineRule="auto"/>
        <w:rPr>
          <w:sz w:val="20"/>
          <w:szCs w:val="20"/>
          <w:color w:val="auto"/>
        </w:rPr>
      </w:pPr>
      <w:r>
        <w:rPr>
          <w:rFonts w:ascii="Times New Roman" w:cs="Times New Roman" w:eastAsia="Times New Roman" w:hAnsi="Times New Roman"/>
          <w:sz w:val="14"/>
          <w:szCs w:val="14"/>
          <w:color w:val="auto"/>
        </w:rPr>
        <w:t>Credit risk represents the loss that we would incur if a counterparty fails to perform under its contractual obligations. To reduce this exposure, we maintain credit policies that include evaluating and monitoring</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counterparties’ financial condition (including credit ratings) and entering into agreements that govern credit guidelines. Our deposits largely consist of performance bonds held as security for project completion. The credit risk related to these deposits is concentrated in the financial strength of the surety companies issuing the bonds and the contractors’ ability to fulfill their contractual obligations. While we have not experienced any credit losses to date and believe our counterparties are creditworthy, we cannot guarantee that we will not experience losses in the future, particularly if financial market conditions deteriorate or if government funding priorities change. As we transition to commercial operations, our credit risk profile will evolve to include exposure to utility customers under our PPAs.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Supply chain risk</w:t>
      </w:r>
    </w:p>
    <w:p>
      <w:pPr>
        <w:spacing w:after="0" w:line="14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Our development and construction activities depend on procuring equipment, services, and materials from a number of suppliers, and supply chain disruptions could impact our access to critical components, including but not limited to, drilling rigs, well casing materials, pumps, monitoring equipment, turbines, and electrical components necessary for our operations. While we seek to maintain relationships with multiple suppliers and plan for contingencies where possible, prolonged supply chain disruptions or loss of key suppliers could materially impact our development timelines and project economics.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Change in Tax Law</w:t>
      </w:r>
    </w:p>
    <w:p>
      <w:pPr>
        <w:spacing w:after="0" w:line="142"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On July 4, 2025, the President of the United States signed the budget reconciliation bill, OBBB, which amends, repeals, or phases out a number of energy tax credits initially introduced by the Inflation Reduction Act of 2022 (the “IRA”). The IRA amended and enhanced multiple tax incentives focusing on climate change mitigation, clean energy, electric vehicles, and battery and energy storage manufacturing or purchasing. Most notably, the IRA introduced PTC and ITC. The OBBB modifies the qualifications of both PTCs and ITCs by limiting credit availability based on start-of-construction date, completion date, and whether the facility is owned by a specified foreign entity or includes any material assistance from a prohibited foreign entity. Under both the IRA and OBBB, we believe our projects have met the qualification requirements for tax credits.</w:t>
      </w:r>
    </w:p>
    <w:p>
      <w:pPr>
        <w:spacing w:after="0" w:line="103"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We also have the option to fully depreciate a portion of the cost of a new geothermal power plant in the year placed in service, as permitted under OBBB. When claiming ITCs, our tax basis eligible for depreciation is reduced by half of the ITC amount. If we claim the PTC instead, there is no reduction in the tax basis for depreciation. We will continue to assess the provisions under the OBBB and IRA to determine if an election suits our business needs.</w:t>
      </w:r>
    </w:p>
    <w:p>
      <w:pPr>
        <w:spacing w:after="0" w:line="1" w:lineRule="exact"/>
        <w:rPr>
          <w:sz w:val="20"/>
          <w:szCs w:val="20"/>
          <w:color w:val="auto"/>
        </w:rPr>
      </w:pPr>
    </w:p>
    <w:p>
      <w:pPr>
        <w:ind w:left="1160" w:right="1199"/>
        <w:spacing w:after="0" w:line="264" w:lineRule="auto"/>
        <w:rPr>
          <w:sz w:val="20"/>
          <w:szCs w:val="20"/>
          <w:color w:val="auto"/>
        </w:rPr>
      </w:pPr>
      <w:r>
        <w:rPr>
          <w:rFonts w:ascii="Times New Roman" w:cs="Times New Roman" w:eastAsia="Times New Roman" w:hAnsi="Times New Roman"/>
          <w:sz w:val="14"/>
          <w:szCs w:val="14"/>
          <w:color w:val="auto"/>
        </w:rPr>
        <w:t>The incentives provided by the OBBB and IRA could significantly impact our future consolidated financial statements as we become operational. Future steps to revise, repeal, or otherwise change existing rules and regulations, including various tax incentives, leaves us uncertain about the potential impact at this time.</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Estimates and Assumptions</w:t>
      </w:r>
    </w:p>
    <w:p>
      <w:pPr>
        <w:spacing w:after="0" w:line="142"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us to apply accounting policies and make estimates and assumptions that affect the results of operations and the amounts of assets and liabilities reported in the consolidated financial statements . We believe that the accounting policies described below require significant judgment in their application or incorporate estimates and assumptions that are inherently uncertain and that may change in subsequent periods. Additional information on the application of these accounting policies can be found in the notes to consolidated financial statements.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4"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Our geothermal operations depend on securing and maintaining leases for geothermal resources on federal, state, and private lands. Under ASC 842, we recognize right-of-use (“ROU”) assets and corresponding lease liabilities for these leases. Applying ASC 842 requires significant management judgment, particularly in determining lease terms and discount rates. Our geothermal leases typically have fixed primary terms with extensions contingent upon achieving commercial production. We assess the lease term by considering both the initial term as well as renewal and termination options we are reasonably certain to exercise, based on factors including economic viability, expected production levels, and long-term operational plans. Since no active market exists for government-owned subsurface rights, making fair value impractical to determine, we use our incremental borrowing rate (“IBR”) to calculate the present value of lease payments.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We regularly assess our ROU assets for impairment whenever events or circumstances indicate the carrying amount may not be recoverable, considering factors such as changes in future estimated undiscounted cash flows, lease term adjustments, and discount rate changes. The complexity of determining appropriate discount rates and</w:t>
      </w:r>
    </w:p>
    <w:p>
      <w:pPr>
        <w:sectPr>
          <w:pgSz w:w="11900" w:h="16889" w:orient="portrait"/>
          <w:cols w:equalWidth="0" w:num="1">
            <w:col w:w="9019"/>
          </w:cols>
          <w:pgMar w:left="1440" w:top="153" w:right="1440" w:bottom="0" w:gutter="0" w:footer="0" w:header="0"/>
        </w:sectPr>
      </w:pPr>
    </w:p>
    <w:bookmarkStart w:id="83" w:name="page84"/>
    <w:bookmarkEnd w:id="83"/>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lease terms for government-owned subsurface rights underscores the significance of management’s judgment in applying ASC 842. While we believe our estimates and assumptions are reasonable, actual results may differ materially. Changes in our assessment of lease terms, fluctuations in market interest rates affecting our IBR, or impairment charges could materially impact our financial condition and results of operations. For example, assuming our outstanding lease liability balance remained constant, a hypothetical 1.0% change in our IBR would have resulted in a $0.8 million non-cash change in our lease liability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-631825</wp:posOffset>
            </wp:positionV>
            <wp:extent cx="716026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We assess the recoverability of our long-lived assets whenever events or changes in circumstances indicate that the carrying value of an asset may not be recoverable. Impairment indicators include adverse changes in power market fundamentals or regulatory environment, determination that a geothermal resource will not support commercial operations, significant cost overruns threatening economic viability, loss of PPAs, unresolvable technical challenges, or changes affecting renewable energy incentives. Our impairment analyses require significant judgment, including identification of the grouping of long-lived assets for impairment testing, estimates of future cash flows arising from these groups of assets and estimates of the remaining useful lives of the long-lived assets being evaluated.</w:t>
      </w:r>
    </w:p>
    <w:p>
      <w:pPr>
        <w:spacing w:after="0" w:line="103"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When an indicator of impairment is identified, we compare the carrying value of the asset group to its estimated undiscounted future cash flows, including all expenditures necessary to complete development projects. If the undiscounted cash flows indicate the carrying amount is not recoverable, we measure impairment as the difference between carrying amount and fair value, with any impairment loss recorded in the statements of operations. Our impairment assessments require significant judgment, particularly for development-stage projects not yet generating revenue. Key estimates include future production capacity based on geological assessments, revenue projections under PPAs and beyond contracted periods, operating costs, project life, and availability of tax incentives. These estimates are subject to uncertainty and could be materially affected by changes in technology costs, regulatory requirements, power market dynamics, or geological conditions. For the years ended December 31, 2025 and 2024 , we concluded that no impairment indicators were present and recorded no impairment losses.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4"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accordance with our 2019 Stock Incentive Plan, we are authorized to grant awards in the form of both incentive and non-qualified stock options, restricted stock, stock appreciation rights and other stock-based awards. We measure compensation expense for stock options in accordance with ASC 718, Compensation-Stock Compensation, and account for forfeitures as they occur. The determination of the fair value of stock options and other equity-based awards requires management to make critical estimates and assumptions, which affect the reported amounts of stock-based compensation expense in our consolidated financial statements.</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fair value of stock options is determined using valuation models, such as Black-Scholes option-pricing model, which requires inputs that are subjective and may significantly impact the resulting valuation. These inputs, including the fair value of the underlying stock price per share, are based on management’s judgment and historical experience, as well as publicly available information for comparable companies. Changes in these inputs could materially affect the estimated fair value of our stock options, and consequently, the amount of stock-based compensation expense recognized in our consolidated financial statements . A hypothetical 10.0% change in our stock-based compensation expense for the year ended December 31, 2025 would have affected our consolidated net loss by $0.3 million.</w:t>
      </w:r>
    </w:p>
    <w:p>
      <w:pPr>
        <w:spacing w:after="0" w:line="278"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Based on the initial public offering price per share of $27.00, which is the offering price set forth on the cover page of this prospectus, the aggregate intrinsic value of our outstanding stock options as of December 31, 2025 was $659.5 million, with $274.3 million related to vested stock options.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and Disclosure Requirements</w:t>
      </w:r>
    </w:p>
    <w:p>
      <w:pPr>
        <w:spacing w:after="0" w:line="144"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See Note 2 – Significant Accounting Policies of our notes to consolidated financial statements for information regarding new accounting pronouncements.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 and Smaller Reporting Company Status</w:t>
      </w:r>
    </w:p>
    <w:p>
      <w:pPr>
        <w:spacing w:after="0" w:line="14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and, for so long as we continue to be an emerging growth company, we may take advantage of certain exemptions from various reporting requirements that would have been applicable were we a public company that was not an emerging growth company. Such exemptions include, but are not limited to, the exemption to comply with the auditor attestation requirements of Section 404 of the Sarbanes-Oxley Act, reduced disclosure obligations regarding executive compensation in our periodic reports and proxy statements, the exemption from holding a non-binding advisory vote on executive compensation, and the exemption from stockholder approval of any golden parachute payments not previously approved. In addition, pursuant to Section 107 of the JOBS Act, as an emerging growth company, we have elected to take advantage of the extended transition period for complying with new or revised accounting standards until those standards would otherwise apply to private companies, while also maintaining the ability to early adopt certain accounting pronouncements. We intend to take advantage of other applicable exemptions for as long as we remain an emerging growth company. If we cease to be an emerging growth company, we will no longer be able to take advantage of these exemptions or the extended transition period for complying with new or revised accounting standards.</w:t>
      </w:r>
    </w:p>
    <w:p>
      <w:pPr>
        <w:spacing w:after="0" w:line="112"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pgSz w:w="11900" w:h="16838" w:orient="portrait"/>
          <w:cols w:equalWidth="0" w:num="1">
            <w:col w:w="9019"/>
          </w:cols>
          <w:pgMar w:left="1440" w:top="94" w:right="1440" w:bottom="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40"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“Fervo,” the “Company,” “we,” “us,” and “our” in this prospectus refer to Fervo Energy Company and its consolidated subsidiaries.</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Mission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To transform geothermal energy into America’s most dependable and affordable source of clean, 24/7 power.</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Fervo Energy</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U.S. is in critical need of firm, reliable power. Rapid growth in data centers, the resurgence of domestic manufacturing, and accelerating electrification are driving electricity demand that outpaces new planned generation. By 2035, the country is expected to face a 98-gigawatt accredited capacity shortfall, highlighting an urgent need for new, scalable sources of 24/7 power.</w:t>
      </w:r>
    </w:p>
    <w:p>
      <w:pPr>
        <w:spacing w:after="0" w:line="97"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As the pioneer of EGS, we are commercializing a new category of firm power that is scalable, rapidly deployable, readily available, and geographically flexible. By applying proven technologies like horizontal drilling and multi-stage hydraulic fracturing, we are transforming geothermal energy from a niche resource into a utility-scale power solution that is clean, reliable, cost-competitive, and suited to the needs of hyperscalers and utilities alike.</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Geothermal is a highly attractive energy resource – it is clean, firm, and reliable. But traditional geothermal projects depend on rare geologic conditions like volcanic systems with highly conductive natural fracture networks, which has constrained development to places like Iceland, Kenya, California, and Hawaii. Additionally, traditional geothermal projects have carried significant development risk because wells either succeed or fail entirely with natural fracture networks. This uncertainty has made these projects unpredictable, expensive, and hard to scale.</w:t>
      </w:r>
    </w:p>
    <w:p>
      <w:pPr>
        <w:spacing w:after="0" w:line="99"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Our EGS technology addresses the scalability limitations and key development risks of traditional geothermal energy. By designing and controlling subsurface flow pathways, we can predictably recover heat without relying on naturally occurring permeability. Additionally, we deploy innovative subsurface monitoring technologies such as AI-enhanced fiber optic sensing that enable us to monitor and predict geothermal heat transfer at high spatial and temporal resolution. We believe these capabilities will enable us to standardize project development, optimize power facility placement and design, and capture economies of scale previously unavailable to the geothermal industry. We expect this innovative approach to position us to deliver predictable, cost-effective, and scalable geothermal power that follows learning curve cost declines, thereby providing the dependable energy needed to help close the nation’s capacity shortfall.</w:t>
      </w:r>
    </w:p>
    <w:p>
      <w:pPr>
        <w:spacing w:after="0" w:line="106"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Our EGS technology has been delivering clean electrons to the grid and generating revenue since 2023 at our commercial pilot called Project Red, differentiating us from certain other energy alternatives still grappling with technology risk, long development timelines, permitting uncertainty and supply chain constraints. Expanding upon this success, we are now building Cape Station, a 500-megawatt greenfield project, where we expect to deliver first power by late 2026. Our proven technical approach and track record of execution has generated meaningful commercial traction. Across our full portfolio, we have signed 658 megawatts of binding PPAs with investment-grade utility and corporate energy buyers including Southern California Edison and Shell. Beyond our current contracted backlog, we have also entered into a 3-gigawatt framework agreement with Google (the “Geothermal Framework Agreement” or “GFA”) to advance and structure potential power offtake opportunities for current and planned data centers in both grid-connected and alternative energy solutions. We believe this agreement provides a repeatable commercial model to accelerate our deployment, capitalize on expanding demand from hyperscale</w:t>
      </w:r>
    </w:p>
    <w:p>
      <w:pPr>
        <w:sectPr>
          <w:pgSz w:w="11900" w:h="16838" w:orient="portrait"/>
          <w:cols w:equalWidth="0" w:num="1">
            <w:col w:w="9019"/>
          </w:cols>
          <w:pgMar w:left="1440" w:top="1440" w:right="1440" w:bottom="588"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9019"/>
          </w:cols>
          <w:pgMar w:left="1440" w:top="1440" w:right="1440" w:bottom="588" w:gutter="0" w:footer="0" w:header="0"/>
          <w:type w:val="continuous"/>
        </w:sectPr>
      </w:pPr>
    </w:p>
    <w:bookmarkStart w:id="85" w:name="page86"/>
    <w:bookmarkEnd w:id="85"/>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customers, and enable Fervo to play an increasingly critical role in meeting the nation’s growing demand for clean, reliable power.</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Project Pipeline</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are a geothermal energy developer that builds, owns, and operates geothermal power facilities. We construct projects in phases across leased acreage positions that can support multi-gigawatt GeoClusters. Our leasing strategy is focused on securing high-quality, geothermal resources in prime locations, the vast majority of which have existing deep wells that confirm significantly elevated temperatures at shallow depths and near-term commercial viability. We pair detailed geologic analysis with commercial assessments, such as transmission access, market conditions, and permitting, so that each opportunity meets our development standards.</w:t>
      </w:r>
    </w:p>
    <w:p>
      <w:pPr>
        <w:spacing w:after="0" w:line="10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In June 2023, we broke ground on our first GeoCluster – Cape Station – located in Milford, Utah, which we expect will become the world’s largest EGS project in terms of total installed capacity. At Cape Station, we have 500 megawatts under construction and expect to deliver first power in late 2026, reaching approximately 100 megawatts of operating capacity by early 2027. These 500 megawatts represent only the first two phases of the Cape Station GeoCluster. We also have a permit in place to develop an incremental 1.5 gigawatts at the site, and based upon a combination of internal estimates and findings from an independent engineer assessment, estimate that we have a total of approximately 4.3 gigawatts of capacity potential at Cape Station.</w:t>
      </w:r>
    </w:p>
    <w:p>
      <w:pPr>
        <w:spacing w:after="0" w:line="10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Cape Station is expected to be the first in a large portfolio of high-capacity factor, carbon-free, baseload power GeoClusters, supporting the company’s runway for significant, near-term organic growth across our 595,900 acre land position as of December 31, 2025.</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classify our portfolio into three distinct categories: Mature, Pipeline,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 our Mature, Pipeline, and Prospects portfolio consisted of the following:</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Mature</w:t>
      </w:r>
    </w:p>
    <w:p>
      <w:pPr>
        <w:spacing w:after="0" w:line="144" w:lineRule="exact"/>
        <w:rPr>
          <w:sz w:val="20"/>
          <w:szCs w:val="20"/>
          <w:color w:val="auto"/>
        </w:rPr>
      </w:pPr>
    </w:p>
    <w:p>
      <w:pPr>
        <w:ind w:left="1660" w:hanging="249"/>
        <w:spacing w:after="0"/>
        <w:tabs>
          <w:tab w:leader="none" w:pos="16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3 megawatts are currently online and generating power from our pilot project, Project Red.</w:t>
      </w:r>
    </w:p>
    <w:p>
      <w:pPr>
        <w:spacing w:after="0" w:line="139"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Construction: 500 megawatts are currently in construction at Cape Station, with commercial contracts in place and physical work underway.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419" w:hanging="249"/>
        <w:spacing w:after="0" w:line="262" w:lineRule="auto"/>
        <w:tabs>
          <w:tab w:leader="none" w:pos="1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Ready to Build: 550 megawatts across two different GeoClusters were shovel-ready with initial permits secured to begin construction. These megawatts are backed by calibrated subsurface models, validated against well data and geophysical surveys, and have a clear wellfield development strategy in place.</w:t>
      </w:r>
    </w:p>
    <w:p>
      <w:pPr>
        <w:spacing w:after="0" w:line="1" w:lineRule="exact"/>
        <w:rPr>
          <w:rFonts w:ascii="Times New Roman" w:cs="Times New Roman" w:eastAsia="Times New Roman" w:hAnsi="Times New Roman"/>
          <w:sz w:val="14"/>
          <w:szCs w:val="14"/>
          <w:color w:val="auto"/>
        </w:rPr>
      </w:pPr>
    </w:p>
    <w:p>
      <w:pPr>
        <w:ind w:left="1660" w:right="167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Commercially, we have secured or are in advanced negotiation for offtake and have either obtained interconnection or established a clear, achievable path.</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144" w:lineRule="exact"/>
        <w:rPr>
          <w:sz w:val="20"/>
          <w:szCs w:val="20"/>
          <w:color w:val="auto"/>
        </w:rPr>
      </w:pPr>
    </w:p>
    <w:p>
      <w:pPr>
        <w:ind w:left="1660" w:right="1219" w:hanging="249"/>
        <w:spacing w:after="0" w:line="268" w:lineRule="auto"/>
        <w:tabs>
          <w:tab w:leader="none" w:pos="1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Development: 2.6 gigawatts were in advanced development. These projects have a go-to-market strategy established, with key development milestones progressing and active origination efforts underway. Typical activities include preliminary permit filings, on-site geological studies work, and submission of interconnection applications.</w:t>
      </w:r>
    </w:p>
    <w:p>
      <w:pPr>
        <w:spacing w:after="0" w:line="97" w:lineRule="exact"/>
        <w:rPr>
          <w:rFonts w:ascii="Times New Roman" w:cs="Times New Roman" w:eastAsia="Times New Roman" w:hAnsi="Times New Roman"/>
          <w:sz w:val="14"/>
          <w:szCs w:val="14"/>
          <w:color w:val="auto"/>
        </w:rPr>
      </w:pPr>
    </w:p>
    <w:p>
      <w:pPr>
        <w:ind w:left="1660" w:right="1279" w:hanging="249"/>
        <w:spacing w:after="0" w:line="274" w:lineRule="auto"/>
        <w:tabs>
          <w:tab w:leader="none" w:pos="1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 Development: Over 38 gigawatts were in early-stage development across ten GeoClusters where we have commissioned and received independent HIIP studies and are conducting feasibility activities to validate and confirm the path toward commercial development.</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Prospects</w:t>
      </w:r>
    </w:p>
    <w:p>
      <w:pPr>
        <w:spacing w:after="0" w:line="144" w:lineRule="exact"/>
        <w:rPr>
          <w:sz w:val="20"/>
          <w:szCs w:val="20"/>
          <w:color w:val="auto"/>
        </w:rPr>
      </w:pPr>
    </w:p>
    <w:p>
      <w:pPr>
        <w:ind w:left="1660" w:right="1299" w:hanging="249"/>
        <w:spacing w:after="0" w:line="268" w:lineRule="auto"/>
        <w:tabs>
          <w:tab w:leader="none" w:pos="16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Holdings: Our remaining portfolio consists of approximately 256,000 acres of leased acreage as of December 31, 2025, with differentiated geothermal resource quality currently maintained in our portfolio. For this category, we have secured leases and identified project areas, but have not commenced initial development work.</w:t>
      </w:r>
    </w:p>
    <w:p>
      <w:pPr>
        <w:spacing w:after="0" w:line="97"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These three categories (Mature, Pipeline and Prospects) represent the expected progression of our megawatts from those in early development stages to revenue-generating operations.</w:t>
      </w:r>
    </w:p>
    <w:p>
      <w:pPr>
        <w:sectPr>
          <w:pgSz w:w="11900" w:h="16838" w:orient="portrait"/>
          <w:cols w:equalWidth="0" w:num="1">
            <w:col w:w="9019"/>
          </w:cols>
          <w:pgMar w:left="1440" w:top="94" w:right="1440" w:bottom="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 our generation portfolio was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259" w:hanging="257"/>
        <w:spacing w:after="0" w:line="267" w:lineRule="auto"/>
        <w:rPr>
          <w:sz w:val="20"/>
          <w:szCs w:val="20"/>
          <w:color w:val="auto"/>
        </w:rPr>
      </w:pPr>
      <w:r>
        <w:rPr>
          <w:rFonts w:ascii="Times New Roman" w:cs="Times New Roman" w:eastAsia="Times New Roman" w:hAnsi="Times New Roman"/>
          <w:sz w:val="11"/>
          <w:szCs w:val="11"/>
          <w:color w:val="auto"/>
        </w:rPr>
        <w:t>Note: Capacity Potential estimates are based on “Best Estimate” HIIP estimates presented in reports prepared by D&amp;M using assumptions regarding notional EGS development plans, ORC turbine efficiency, parasitic loads, and other assumed recovery factors, and are subject to change with additional data.</w:t>
      </w:r>
    </w:p>
    <w:p>
      <w:pPr>
        <w:spacing w:after="0" w:line="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Project Economics</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Our business model combines technological innovation with disciplined project development and seeks to deliver predictable returns and strong cash generation. In addition to advancing the technical boundaries of geothermal energy, we are implementing a development approach that leverages repeatability, enhanced production performance, and economies of scale. We believe relentless focus on these three areas will enable us to systematically improve the economics of geothermal power generation and increase the value of each megawatt produced across our portfolio.</w:t>
      </w:r>
    </w:p>
    <w:p>
      <w:pPr>
        <w:spacing w:after="0" w:line="97" w:lineRule="exact"/>
        <w:rPr>
          <w:sz w:val="20"/>
          <w:szCs w:val="20"/>
          <w:color w:val="auto"/>
        </w:rPr>
      </w:pPr>
    </w:p>
    <w:p>
      <w:pPr>
        <w:ind w:left="1660" w:right="1199" w:hanging="249"/>
        <w:spacing w:after="0" w:line="262" w:lineRule="auto"/>
        <w:tabs>
          <w:tab w:leader="none" w:pos="1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Repeatability </w:t>
      </w:r>
      <w:r>
        <w:rPr>
          <w:rFonts w:ascii="Times New Roman" w:cs="Times New Roman" w:eastAsia="Times New Roman" w:hAnsi="Times New Roman"/>
          <w:sz w:val="14"/>
          <w:szCs w:val="14"/>
          <w:color w:val="auto"/>
        </w:rPr>
        <w:t>– Freed from the constraints of conventional geothermal systems, our approach emphasizes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standardization and repetition in order to capture and integrate geological, technical, and experiential learnings to meaningfully reduce costs. Since 2022, the company has demonstrated a steep drilling learning curve, reducing drilling times by approximately 75% from 2022 to 2025 and lowering per-foot drilling costs by approximately 70% over the same period. We employ advanced data analytics and proprietary AI-based modeling to better predict operational conditions and accelerate design optimization, drawing on more than 500 terabytes of high-fidelity operational data collected to date. To extend these efficiencies from the wellfield to the surface facilities, we plan to deploy standardized 50-megawatt ORC power plants</w:t>
      </w:r>
    </w:p>
    <w:p>
      <w:pPr>
        <w:sectPr>
          <w:pgSz w:w="11900" w:h="16838" w:orient="portrait"/>
          <w:cols w:equalWidth="0" w:num="1">
            <w:col w:w="9019"/>
          </w:cols>
          <w:pgMar w:left="1440" w:top="1440" w:right="1440"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179"/>
        <w:spacing w:after="0" w:line="174" w:lineRule="exact"/>
        <w:rPr>
          <w:sz w:val="20"/>
          <w:szCs w:val="20"/>
          <w:color w:val="auto"/>
        </w:rPr>
      </w:pPr>
      <w:r>
        <w:rPr>
          <w:rFonts w:ascii="Times New Roman" w:cs="Times New Roman" w:eastAsia="Times New Roman" w:hAnsi="Times New Roman"/>
          <w:sz w:val="14"/>
          <w:szCs w:val="14"/>
          <w:color w:val="auto"/>
        </w:rPr>
        <w:t>that we call GeoBlocks— which aggregated together form GeoClusters— that we expect will yield power projects that are modular and reliable. By modularizing capacity into standardized 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megawatt GeoBlocks and scaling them in GeoClusters, we believe we can create a repeatable, bolt-on development model that compounds learning across projects, shortens delivery timelines, and enables predictable, utility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scale expansion. The chart below illustrates the impact of learning curves on our business over time, demonstrating the decrease in cost per foot and days spent drilling to total depth per well across our Project Red and initial Cape Station subsurface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Fervo Data</w:t>
      </w:r>
    </w:p>
    <w:p>
      <w:pPr>
        <w:spacing w:after="0" w:line="134" w:lineRule="exact"/>
        <w:rPr>
          <w:sz w:val="20"/>
          <w:szCs w:val="20"/>
          <w:color w:val="auto"/>
        </w:rPr>
      </w:pPr>
    </w:p>
    <w:p>
      <w:pPr>
        <w:ind w:left="1660" w:right="1199"/>
        <w:spacing w:after="0" w:line="174" w:lineRule="exact"/>
        <w:rPr>
          <w:sz w:val="20"/>
          <w:szCs w:val="20"/>
          <w:color w:val="auto"/>
        </w:rPr>
      </w:pPr>
      <w:r>
        <w:rPr>
          <w:rFonts w:ascii="Times New Roman" w:cs="Times New Roman" w:eastAsia="Times New Roman" w:hAnsi="Times New Roman"/>
          <w:sz w:val="14"/>
          <w:szCs w:val="14"/>
          <w:color w:val="auto"/>
        </w:rPr>
        <w:t>For our two Project Red wells, total vertical depths were approximately 7,500 feet and total measured depths were approximately 11,000 feet, with a horizontal section of approximately 3,000 feet. For our Cape Station Phase I subsurface construction, we increased the total vertical depths to approximately 9,000 feet and total measured depths to approximately 14,000 feet, with a horizontal section of approximately 5,000 feet. We plan to drill approximately 8–10 wells per standardized GeoBlock. Planned well depths will vary and will be refined based on site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geology and geography, including subsurface thermal gradient, stress conditions, and structural or tectonic setting pertinent to EGS, to intersect target heat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formations at the depths required for effective reservoir creation.</w:t>
      </w:r>
    </w:p>
    <w:p>
      <w:pPr>
        <w:spacing w:after="0" w:line="115" w:lineRule="exact"/>
        <w:rPr>
          <w:sz w:val="20"/>
          <w:szCs w:val="20"/>
          <w:color w:val="auto"/>
        </w:rPr>
      </w:pPr>
    </w:p>
    <w:p>
      <w:pPr>
        <w:ind w:left="1660" w:right="1259" w:hanging="249"/>
        <w:spacing w:after="0" w:line="264" w:lineRule="auto"/>
        <w:tabs>
          <w:tab w:leader="none" w:pos="16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Enhanced Production Performance </w:t>
      </w:r>
      <w:r>
        <w:rPr>
          <w:rFonts w:ascii="Times New Roman" w:cs="Times New Roman" w:eastAsia="Times New Roman" w:hAnsi="Times New Roman"/>
          <w:sz w:val="14"/>
          <w:szCs w:val="14"/>
          <w:color w:val="auto"/>
        </w:rPr>
        <w:t>– We seek to continue to increase output and efficiency through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improvements in well design, reservoir engineering, and surface facility optimization. We have already deployed progressively longer lateral wells and have targeted progressively higher temperature formations</w:t>
      </w:r>
    </w:p>
    <w:p>
      <w:pPr>
        <w:spacing w:after="0" w:line="2" w:lineRule="exact"/>
        <w:rPr>
          <w:sz w:val="20"/>
          <w:szCs w:val="20"/>
          <w:color w:val="auto"/>
        </w:rPr>
      </w:pPr>
    </w:p>
    <w:p>
      <w:pPr>
        <w:ind w:left="1660" w:right="1219"/>
        <w:spacing w:after="0" w:line="256" w:lineRule="auto"/>
        <w:rPr>
          <w:sz w:val="20"/>
          <w:szCs w:val="20"/>
          <w:color w:val="auto"/>
        </w:rPr>
      </w:pPr>
      <w:r>
        <w:rPr>
          <w:rFonts w:ascii="Times New Roman" w:cs="Times New Roman" w:eastAsia="Times New Roman" w:hAnsi="Times New Roman"/>
          <w:sz w:val="14"/>
          <w:szCs w:val="14"/>
          <w:color w:val="auto"/>
        </w:rPr>
        <w:t>to enhance heat recovery from each well and improve power conversion efficiency. For example, our Project Red wells have maximum lateral lengths of approximately 3,000 feet and target formation temperatures of approximately 350°F, whereas the Cape Station Phase I wells have maximum lateral lengths of approximately 5,000 feet and target higher formation temperatures of approximately 400°F. These design choices reflect our progression toward longer laterals and hotter reservoirs in successive</w:t>
      </w:r>
    </w:p>
    <w:p>
      <w:pPr>
        <w:spacing w:after="0" w:line="1" w:lineRule="exact"/>
        <w:rPr>
          <w:sz w:val="20"/>
          <w:szCs w:val="20"/>
          <w:color w:val="auto"/>
        </w:rPr>
      </w:pPr>
    </w:p>
    <w:p>
      <w:pPr>
        <w:ind w:left="1660" w:right="1219"/>
        <w:spacing w:after="0" w:line="261" w:lineRule="auto"/>
        <w:rPr>
          <w:sz w:val="20"/>
          <w:szCs w:val="20"/>
          <w:color w:val="auto"/>
        </w:rPr>
      </w:pPr>
      <w:r>
        <w:rPr>
          <w:rFonts w:ascii="Times New Roman" w:cs="Times New Roman" w:eastAsia="Times New Roman" w:hAnsi="Times New Roman"/>
          <w:sz w:val="14"/>
          <w:szCs w:val="14"/>
          <w:color w:val="auto"/>
        </w:rPr>
        <w:t>phases, with Cape Station Phase I representing a step-change relative to Project Red. Proprietary stimulation techniques and real-time monitoring allow us to optimize flow distribution and thermal recovery. We continuously refine our approaches to drilling, completions, and facility configuration to deliver incremental performance gains with each successive phase of each project.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60" w:right="1199" w:hanging="249"/>
        <w:spacing w:after="0" w:line="264" w:lineRule="auto"/>
        <w:tabs>
          <w:tab w:leader="none" w:pos="16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Economies of Scale </w:t>
      </w:r>
      <w:r>
        <w:rPr>
          <w:rFonts w:ascii="Times New Roman" w:cs="Times New Roman" w:eastAsia="Times New Roman" w:hAnsi="Times New Roman"/>
          <w:sz w:val="14"/>
          <w:szCs w:val="14"/>
          <w:color w:val="auto"/>
        </w:rPr>
        <w:t>– Our GeoCluster-focused approach supports the development of shared infrastructure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streamlined supply chains. By replicating uniform GeoBlocks across multiple sites, the company achieves procurement leverage, lowering capital intensity and increasing the predictability of long-lead time equipment supply. We expect multi-gigawatt GeoClusters will allow us to capture scale efficiencies across engineering, construction, manufacturing, workforce, and operations, further enhancing project returns and improving overall company economics.</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Together, we believe these capabilities create a compounding advantage across our portfolio. We expect that repeatability, enhanced production performance, and economies of scale will contribute to lower capital intensity and higher margins on a per-megawatt basis and enhance project-level cash generation. As additional GeoBlocks are deployed across GeoClusters, we expect continued reductions in cost per megawatt and improvements in return on invested capital, reinforcing the company’s ability to deliver sustained value.</w:t>
      </w:r>
    </w:p>
    <w:p>
      <w:pPr>
        <w:sectPr>
          <w:pgSz w:w="11900" w:h="16838" w:orient="portrait"/>
          <w:cols w:equalWidth="0" w:num="1">
            <w:col w:w="9019"/>
          </w:cols>
          <w:pgMar w:left="1440" w:top="232" w:right="1440" w:bottom="654"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Midpoint for geothermal capacity factor, Rystad Energy.</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Opportunity</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Driven by surging load from AI and data centers and accelerating electrification across transportation, buildings, and industry, the U.S. power market is approaching a decisive inflection point as electricity demand outpaces new planned generation. At the same time, Rystad notes that roughly 66 gigawatts of aging accredited capacity are expected to retire by 2035, which is projected to lead to a nationwide accredited capacity shortfall of approximately 98 gigawatts by 2035. Underlying this accredited capacity shortfall is the disproportionate retirement of baseload power sources, namely coal, which comprises 80% of net power retirement through 2035. To close the projected capacity shortfall, the market will require substantial incremental firm generation.</w:t>
      </w:r>
    </w:p>
    <w:p>
      <w:pPr>
        <w:spacing w:after="0" w:line="101"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 firm energy resource, like geothermal, natural gas, nuclear or coal, can reliably deliver electricity at consistent levels for long durations and typically has a capacity factor above 75%. Because of its reliable nature, firm power is critical for the inflexible demand profiles of data centers, as well as industrial and commercial consumers. However, market participants expect the projected shortfall in firm power generation to be increasingly plugged by intermittent renewables (wind, solar, often paired with batteries to extend availability); Rystad predicts that renewables could comprise 32% of all U.S. power generation by 2035. Meanwhile, rising peak demand, in conjunction with planned firm power retirements, is driving down reserve margins across the U.S., making additional firm capacity critical.</w:t>
      </w:r>
    </w:p>
    <w:p>
      <w:pPr>
        <w:spacing w:after="0" w:line="101" w:lineRule="exact"/>
        <w:rPr>
          <w:sz w:val="20"/>
          <w:szCs w:val="20"/>
          <w:color w:val="auto"/>
        </w:rPr>
      </w:pPr>
    </w:p>
    <w:p>
      <w:pPr>
        <w:jc w:val="both"/>
        <w:ind w:left="1160" w:right="1279" w:firstLine="258"/>
        <w:spacing w:after="0" w:line="184" w:lineRule="exact"/>
        <w:rPr>
          <w:sz w:val="20"/>
          <w:szCs w:val="20"/>
          <w:color w:val="auto"/>
        </w:rPr>
      </w:pPr>
      <w:r>
        <w:rPr>
          <w:rFonts w:ascii="Times New Roman" w:cs="Times New Roman" w:eastAsia="Times New Roman" w:hAnsi="Times New Roman"/>
          <w:sz w:val="14"/>
          <w:szCs w:val="14"/>
          <w:color w:val="auto"/>
        </w:rPr>
        <w:t>This mismatch in supply and demand has manifested itself in progressively higher PPA prices for firm energy resources. Rystad reports that clean, firm energy sources, like EGS, can command pricing in the range of $100-130 per megawatt-hour. According to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sources and internal estimates, the unit economics for an illustrative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EGS project reflect differentiated project cashflows and returns as compared to renewables, gas and nuclear. Based</w:t>
      </w:r>
    </w:p>
    <w:p>
      <w:pPr>
        <w:spacing w:after="0" w:line="25" w:lineRule="exact"/>
        <w:rPr>
          <w:sz w:val="20"/>
          <w:szCs w:val="20"/>
          <w:color w:val="auto"/>
        </w:rPr>
      </w:pPr>
    </w:p>
    <w:p>
      <w:pPr>
        <w:ind w:left="1160"/>
        <w:spacing w:after="0" w:line="161" w:lineRule="exact"/>
        <w:rPr>
          <w:sz w:val="20"/>
          <w:szCs w:val="20"/>
          <w:color w:val="auto"/>
        </w:rPr>
      </w:pPr>
      <w:r>
        <w:rPr>
          <w:rFonts w:ascii="Times New Roman" w:cs="Times New Roman" w:eastAsia="Times New Roman" w:hAnsi="Times New Roman"/>
          <w:sz w:val="14"/>
          <w:szCs w:val="14"/>
          <w:color w:val="auto"/>
        </w:rPr>
        <w:t>on an assumed firm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power pricing of approximately $115 per megawatt hour, a capacity factor of roughly 83%,</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operations and maintenance costs of $160 dollars per kilowatt-year with no fuel expense, and a $30 per megawatt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hour of geothermal tax credit, illustrative earnings before interest, taxes, depreciation and amortization per megawatt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for EGS for a one-year period are approximately $650,000 to $700,000 without tax credits and $850,000 to</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$950,000 with the inclusion of tax credits. Pursuant to recently enacted amendments to Internal Revenue Code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Sections 45Y and 48E under the “One Big Beautiful Bill Act,” projects that begin construction by the end of 2033</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will receive the full tax credit; those beginning in 2034-2035 get a reduced credit of 75% and 50%, respectively;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projects that begin construction in 2036 or later lose the tax credits entirely. Further, actual earnings before interest,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taxes, depreciation and amortization per megawatt for EGS projects will differ depending on project and market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specific factors, such as resource quality, development and operating costs actual capacity factor, power prices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offtake terms, and may cause results to vary materially from such estimates. See “Risk Factors — Risks Related to</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Our Business — Illustrative estimates of earnings before interest, taxes, depreciation and amortization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illustrative estimates of capital required per megawatt for EGS projects included herein are not forecasts, targets 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guidance, and actual results could vary materially.”</w:t>
      </w:r>
    </w:p>
    <w:p>
      <w:pPr>
        <w:spacing w:after="0" w:line="126" w:lineRule="exact"/>
        <w:rPr>
          <w:sz w:val="20"/>
          <w:szCs w:val="20"/>
          <w:color w:val="auto"/>
        </w:rPr>
      </w:pPr>
    </w:p>
    <w:p>
      <w:pPr>
        <w:ind w:left="1160" w:right="1439" w:firstLine="258"/>
        <w:spacing w:after="0" w:line="274" w:lineRule="auto"/>
        <w:rPr>
          <w:sz w:val="20"/>
          <w:szCs w:val="20"/>
          <w:color w:val="auto"/>
        </w:rPr>
      </w:pPr>
      <w:r>
        <w:rPr>
          <w:rFonts w:ascii="Times New Roman" w:cs="Times New Roman" w:eastAsia="Times New Roman" w:hAnsi="Times New Roman"/>
          <w:sz w:val="14"/>
          <w:szCs w:val="14"/>
          <w:color w:val="auto"/>
        </w:rPr>
        <w:t>Key factors that could impact this illustrative EBITDA include realized PPA prices, drilling and stimulation outcomes, actual operational and maintenance costs, realized capacity factor relative to the assumed 83%, and availability and monetization of tax credits.</w:t>
      </w:r>
    </w:p>
    <w:p>
      <w:pPr>
        <w:spacing w:after="0" w:line="93"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Based on internal estimates for projects currently under construction, our enhanced geothermal power plants are expected to have total installed costs of approximately $5-7 million per megawatt and have a useful life of at least 30 years. Key factors that could impact these estimated costs include the number of wells required for subsurface development, turbine and major equipment procurement, production facility design specifications, and grid interconnection-related expenses.</w:t>
      </w:r>
    </w:p>
    <w:p>
      <w:pPr>
        <w:spacing w:after="0" w:line="99" w:lineRule="exact"/>
        <w:rPr>
          <w:sz w:val="20"/>
          <w:szCs w:val="20"/>
          <w:color w:val="auto"/>
        </w:rPr>
      </w:pPr>
    </w:p>
    <w:p>
      <w:pPr>
        <w:jc w:val="both"/>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According to Rystad, if EGS were to meet the emerging accredited capacity gap in the U.S. alone, the annual addressable market would be approximately $70.0 billion by 2035. Assuming a 30-year asset life, this represents a $2.1 trillion revenue potential opportunity.</w:t>
      </w:r>
    </w:p>
    <w:p>
      <w:pPr>
        <w:spacing w:after="0" w:line="93"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We believe we are well positioned to meet this moment. Our EGS technology is proven and scalable. Our modular engineering approach supports rapid deployment. Our commercial pipeline is advanced, our wellfield supply chain and labor force are mature, and our intellectual property is broad, while our acreage holdings contain approximately 595,900 acres of geothermal leases that provide significant room for expansion. These advantages position us to become one of the largest providers of scalable, carbon-free baseload power over the next decade.</w:t>
      </w:r>
    </w:p>
    <w:p>
      <w:pPr>
        <w:spacing w:after="0" w:line="99"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following factors highlight the structural demand-supply imbalance in U.S. power markets and underscore why we believe that scalable, firm, carbon-free solutions like EGS are positioned to capture outsized value in the decade ahead.</w:t>
      </w:r>
    </w:p>
    <w:p>
      <w:pPr>
        <w:spacing w:after="0" w:line="89" w:lineRule="exact"/>
        <w:rPr>
          <w:sz w:val="20"/>
          <w:szCs w:val="20"/>
          <w:color w:val="auto"/>
        </w:rPr>
      </w:pPr>
    </w:p>
    <w:p>
      <w:pPr>
        <w:ind w:left="1660" w:right="1399" w:hanging="249"/>
        <w:spacing w:after="0" w:line="277" w:lineRule="auto"/>
        <w:tabs>
          <w:tab w:leader="none" w:pos="16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All-Time High Power Demand </w:t>
      </w:r>
      <w:r>
        <w:rPr>
          <w:rFonts w:ascii="Times New Roman" w:cs="Times New Roman" w:eastAsia="Times New Roman" w:hAnsi="Times New Roman"/>
          <w:sz w:val="14"/>
          <w:szCs w:val="14"/>
          <w:color w:val="auto"/>
        </w:rPr>
        <w:t>– After two decades of relatively stable load growth between 2000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2020, energy demand is rising steeply and rapidly driven by the artificial intelligence (“AI”) boom, renewed onshoring of manufacturing and economy-wide electrification.</w:t>
      </w:r>
    </w:p>
    <w:p>
      <w:pPr>
        <w:spacing w:after="0" w:line="86" w:lineRule="exact"/>
        <w:rPr>
          <w:rFonts w:ascii="Times New Roman" w:cs="Times New Roman" w:eastAsia="Times New Roman" w:hAnsi="Times New Roman"/>
          <w:sz w:val="14"/>
          <w:szCs w:val="14"/>
          <w:color w:val="auto"/>
        </w:rPr>
      </w:pPr>
    </w:p>
    <w:p>
      <w:pPr>
        <w:ind w:left="1660" w:right="1179" w:hanging="249"/>
        <w:spacing w:after="0" w:line="266" w:lineRule="auto"/>
        <w:tabs>
          <w:tab w:leader="none" w:pos="16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AI Data Center Projects</w:t>
      </w:r>
      <w:r>
        <w:rPr>
          <w:rFonts w:ascii="Times New Roman" w:cs="Times New Roman" w:eastAsia="Times New Roman" w:hAnsi="Times New Roman"/>
          <w:sz w:val="14"/>
          <w:szCs w:val="14"/>
          <w:color w:val="auto"/>
        </w:rPr>
        <w:t>. According to Rystad, AI data centers are projected to require 552 TWh of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over the next decade. The top four hyperscalers building these data centers—Amazon, Google, Microsoft and Meta— have each characterized energy as a critical input to winning the AI race. Together, these four companies have executed over 133 gigawatts of energy supply agreements as of Q1 2026. Rystad notes that the explosive growth of AI and data centers is placing unprecedented strain on U.S. power infrastructure,</w:t>
      </w:r>
    </w:p>
    <w:p>
      <w:pPr>
        <w:sectPr>
          <w:pgSz w:w="11900" w:h="16838" w:orient="portrait"/>
          <w:cols w:equalWidth="0" w:num="1">
            <w:col w:w="9019"/>
          </w:cols>
          <w:pgMar w:left="1440" w:top="1440" w:right="1440" w:bottom="0" w:gutter="0" w:footer="0" w:header="0"/>
        </w:sectPr>
      </w:pPr>
    </w:p>
    <w:bookmarkStart w:id="89" w:name="page90"/>
    <w:bookmarkEnd w:id="89"/>
    <w:p>
      <w:pPr>
        <w:ind w:left="1660" w:right="1319"/>
        <w:spacing w:after="0" w:line="209" w:lineRule="auto"/>
        <w:rPr>
          <w:sz w:val="20"/>
          <w:szCs w:val="20"/>
          <w:color w:val="auto"/>
        </w:rPr>
      </w:pPr>
      <w:r>
        <w:rPr>
          <w:rFonts w:ascii="Times New Roman" w:cs="Times New Roman" w:eastAsia="Times New Roman" w:hAnsi="Times New Roman"/>
          <w:sz w:val="14"/>
          <w:szCs w:val="14"/>
          <w:color w:val="auto"/>
        </w:rPr>
        <w:t>with some hyperscale projects expected to draw over 2 gigawatts of power – the equivalent of a medium-sized city – by themselves. Only 15% of data centers will be under 50 megawatts by 2035,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14"/>
          <w:szCs w:val="14"/>
          <w:color w:val="auto"/>
        </w:rPr>
        <w:t>existing and announced projects.</w:t>
      </w:r>
    </w:p>
    <w:p>
      <w:pPr>
        <w:spacing w:after="0" w:line="122" w:lineRule="exact"/>
        <w:rPr>
          <w:sz w:val="20"/>
          <w:szCs w:val="20"/>
          <w:color w:val="auto"/>
        </w:rPr>
      </w:pPr>
    </w:p>
    <w:p>
      <w:pPr>
        <w:ind w:left="1660" w:right="1399" w:hanging="249"/>
        <w:spacing w:after="0" w:line="277" w:lineRule="auto"/>
        <w:tabs>
          <w:tab w:leader="none" w:pos="1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Onshoring of Manufacturing </w:t>
      </w:r>
      <w:r>
        <w:rPr>
          <w:rFonts w:ascii="Times New Roman" w:cs="Times New Roman" w:eastAsia="Times New Roman" w:hAnsi="Times New Roman"/>
          <w:sz w:val="14"/>
          <w:szCs w:val="14"/>
          <w:color w:val="auto"/>
        </w:rPr>
        <w:t>. Political and economic factors are driving the increases in industrial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returning to the U.S., driving increased power demand in the industrial sector. New manufacturing facilities in sectors like semiconductors, plastics, and metals are creating substantial new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59"/>
        <w:spacing w:after="0" w:line="263" w:lineRule="auto"/>
        <w:rPr>
          <w:sz w:val="20"/>
          <w:szCs w:val="20"/>
          <w:color w:val="auto"/>
        </w:rPr>
      </w:pPr>
      <w:r>
        <w:rPr>
          <w:rFonts w:ascii="Times New Roman" w:cs="Times New Roman" w:eastAsia="Times New Roman" w:hAnsi="Times New Roman"/>
          <w:sz w:val="14"/>
          <w:szCs w:val="14"/>
          <w:color w:val="auto"/>
        </w:rPr>
        <w:t>power loads, with some plants contributing several hundred GWh annually. This reshoring trend is concentrated in regions such as the Southeast, Midwest, and Western states, where nearly 149 new manufacturing projects have been announced over the last five years. Additionally, in response to shifting and uncertain tariffs, large companies across heavy industry have pledged to relocate manufacturing facilities to the U.S. in the future, further accelerating this trend. Rystad predicts that achieving U.S.-based manufacturing goals could require 170 TWh of new capacity by 2035.</w:t>
      </w:r>
    </w:p>
    <w:p>
      <w:pPr>
        <w:spacing w:after="0" w:line="97" w:lineRule="exact"/>
        <w:rPr>
          <w:sz w:val="20"/>
          <w:szCs w:val="20"/>
          <w:color w:val="auto"/>
        </w:rPr>
      </w:pPr>
    </w:p>
    <w:p>
      <w:pPr>
        <w:ind w:left="1660" w:right="1219" w:hanging="249"/>
        <w:spacing w:after="0" w:line="269" w:lineRule="auto"/>
        <w:tabs>
          <w:tab w:leader="none" w:pos="16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Economy-Wide Electrification </w:t>
      </w:r>
      <w:r>
        <w:rPr>
          <w:rFonts w:ascii="Times New Roman" w:cs="Times New Roman" w:eastAsia="Times New Roman" w:hAnsi="Times New Roman"/>
          <w:sz w:val="14"/>
          <w:szCs w:val="14"/>
          <w:color w:val="auto"/>
        </w:rPr>
        <w:t>. According to Rystad, economy-wide electrification continues to drive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utility power procurement, requiring a projected incremental capacity of 307 TWh. U.S. electricity demand</w:t>
      </w:r>
    </w:p>
    <w:p>
      <w:pPr>
        <w:spacing w:after="0" w:line="1" w:lineRule="exact"/>
        <w:rPr>
          <w:sz w:val="20"/>
          <w:szCs w:val="20"/>
          <w:color w:val="auto"/>
        </w:rPr>
      </w:pPr>
    </w:p>
    <w:p>
      <w:pPr>
        <w:ind w:left="1660" w:right="1199"/>
        <w:spacing w:after="0" w:line="260" w:lineRule="auto"/>
        <w:rPr>
          <w:sz w:val="20"/>
          <w:szCs w:val="20"/>
          <w:color w:val="auto"/>
        </w:rPr>
      </w:pPr>
      <w:r>
        <w:rPr>
          <w:rFonts w:ascii="Times New Roman" w:cs="Times New Roman" w:eastAsia="Times New Roman" w:hAnsi="Times New Roman"/>
          <w:sz w:val="14"/>
          <w:szCs w:val="14"/>
          <w:color w:val="auto"/>
        </w:rPr>
        <w:t>is expected to grow about 24% by 2035 from 2025 levels, driven largely by data center growth, industrial reshoring and increased electrification. This surge in demand requires extensive new investments in power generation to ensure grid reliability and capacity. These trends contribute to a much steeper energy demand curve than previously experienced. As demand outpaces supply, power prices are projected to continue to increase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Rystad Energy.</w:t>
      </w:r>
    </w:p>
    <w:p>
      <w:pPr>
        <w:spacing w:after="0" w:line="130" w:lineRule="exact"/>
        <w:rPr>
          <w:sz w:val="20"/>
          <w:szCs w:val="20"/>
          <w:color w:val="auto"/>
        </w:rPr>
      </w:pPr>
    </w:p>
    <w:p>
      <w:pPr>
        <w:ind w:left="1660" w:right="1159" w:hanging="249"/>
        <w:spacing w:after="0" w:line="264" w:lineRule="auto"/>
        <w:tabs>
          <w:tab w:leader="none" w:pos="16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Deficient Supply Alternatives </w:t>
      </w:r>
      <w:r>
        <w:rPr>
          <w:rFonts w:ascii="Times New Roman" w:cs="Times New Roman" w:eastAsia="Times New Roman" w:hAnsi="Times New Roman"/>
          <w:sz w:val="14"/>
          <w:szCs w:val="14"/>
          <w:color w:val="auto"/>
        </w:rPr>
        <w:t>. The U.S. energy system is facing a severe supply constraint caused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insufficient new capacity additions and aging infrastructure. Existing power supply alternatives face various limitations in this time of great need. VREs like solar and wind have expanded rapidly but can only meet certain hours of demand, even when coupled with battery storage. Firm energy resources like natural gas face supply chain bottlenecks and volatile fuel pricing. Nuclear power remains a critical firm energy resource, but new large-scale projects are battling high costs and long development timelines.</w:t>
      </w:r>
    </w:p>
    <w:p>
      <w:pPr>
        <w:spacing w:after="0" w:line="97" w:lineRule="exact"/>
        <w:rPr>
          <w:rFonts w:ascii="Times New Roman" w:cs="Times New Roman" w:eastAsia="Times New Roman" w:hAnsi="Times New Roman"/>
          <w:sz w:val="14"/>
          <w:szCs w:val="14"/>
          <w:color w:val="auto"/>
        </w:rPr>
      </w:pPr>
    </w:p>
    <w:p>
      <w:pPr>
        <w:ind w:left="1660" w:right="1239" w:hanging="249"/>
        <w:spacing w:after="0" w:line="277" w:lineRule="auto"/>
        <w:tabs>
          <w:tab w:leader="none" w:pos="16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VRE Shortfalls </w:t>
      </w:r>
      <w:r>
        <w:rPr>
          <w:rFonts w:ascii="Times New Roman" w:cs="Times New Roman" w:eastAsia="Times New Roman" w:hAnsi="Times New Roman"/>
          <w:sz w:val="14"/>
          <w:szCs w:val="14"/>
          <w:color w:val="auto"/>
        </w:rPr>
        <w:t>. Though solar and wind energy supply are projected to grow in the face of political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headwinds, neither resource adequately addresses the need for reliable, baseload energy. Even when paired with battery energy storage systems, these systems do not achieve baseload reliability.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charts below demonstrate the lack of baseload power expected to be added to the U.S. energy system, and the particular impact on the Western U.S., our current area of operations.</w:t>
      </w:r>
    </w:p>
    <w:p>
      <w:pPr>
        <w:sectPr>
          <w:pgSz w:w="11900" w:h="16838" w:orient="portrait"/>
          <w:cols w:equalWidth="0" w:num="1">
            <w:col w:w="9019"/>
          </w:cols>
          <w:pgMar w:left="1440" w:top="94" w:right="1440" w:bottom="1044"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 Rystad Energy.</w:t>
      </w:r>
    </w:p>
    <w:p>
      <w:pPr>
        <w:spacing w:after="0" w:line="134"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Additionally, Rystad predicts that the phaseout of federal tax credits is expected to weaken wind and solar project economics, further reducing new supply and affordability. Post-enactment of the OBBB, the market projects a 28% cut to U.S. solar and a 52% cut to U.S. wind installations through 2030.</w:t>
      </w:r>
    </w:p>
    <w:p>
      <w:pPr>
        <w:spacing w:after="0" w:line="89" w:lineRule="exact"/>
        <w:rPr>
          <w:sz w:val="20"/>
          <w:szCs w:val="20"/>
          <w:color w:val="auto"/>
        </w:rPr>
      </w:pPr>
    </w:p>
    <w:p>
      <w:pPr>
        <w:ind w:left="1660" w:right="1199" w:hanging="249"/>
        <w:spacing w:after="0" w:line="262" w:lineRule="auto"/>
        <w:tabs>
          <w:tab w:leader="none" w:pos="16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Natural Gas Bottlenecks</w:t>
      </w:r>
      <w:r>
        <w:rPr>
          <w:rFonts w:ascii="Times New Roman" w:cs="Times New Roman" w:eastAsia="Times New Roman" w:hAnsi="Times New Roman"/>
          <w:sz w:val="14"/>
          <w:szCs w:val="14"/>
          <w:color w:val="auto"/>
        </w:rPr>
        <w:t>. Although natural gas is currently the incumbent source of baseload generation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U.S., its future buildout faces key constraints, including limited turbine manufacturing capacity and competing demand for fuel. Today, Rystad reports that the top 3 gas turbine manufacturers are unable to procure new turbines before 2030, with lead times exceeding 5+ years for new orders. Additionally, the price volatility of the natural gas commodity markets remains a key risk, hindering long-term fixed-price supply agreements. The U.S. Energy Information Administration notes that the surge of LNG export projects reaching final investment decision this year – representing approximately 13 billion cubic feet of export capacity in 2031 – is expected to further tighten domestic supply and push natural gas prices higher.</w:t>
      </w:r>
    </w:p>
    <w:p>
      <w:pPr>
        <w:sectPr>
          <w:pgSz w:w="11900" w:h="16838" w:orient="portrait"/>
          <w:cols w:equalWidth="0" w:num="1">
            <w:col w:w="9019"/>
          </w:cols>
          <w:pgMar w:left="1440" w:top="1440" w:right="1440" w:bottom="1440" w:gutter="0" w:footer="0" w:header="0"/>
        </w:sectPr>
      </w:pP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1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Nuclear Delays and Technological Uncertainties </w:t>
      </w:r>
      <w:r>
        <w:rPr>
          <w:rFonts w:ascii="Times New Roman" w:cs="Times New Roman" w:eastAsia="Times New Roman" w:hAnsi="Times New Roman"/>
          <w:sz w:val="14"/>
          <w:szCs w:val="14"/>
          <w:color w:val="auto"/>
        </w:rPr>
        <w:t>. SMRs are a promising but still largely unproven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They offer potential advantages in safety, modularity, and scalability, yet significant hurdles remain before SMR-generated power can be cost-competitive in the U.S. market. Achieving affordable and reliable deployment will require material gains in manufacturing scale, streamlined regulatory processes, and improved construction efficiency. Conventional nuclear energy development has also stalled: no true greenfield projects have reached completion in the 21st century, as plants are capital-intensive and typically require up to a decade before beginning commercial operations. Plant Vogtle in Burke County, Georgia faced significant delays and capital expenditure overruns, and is the only new U.S. project with construction started in recent decades with a construction time of 11 years, underscoring the challenges of nuclear energy development. SMRs could change this trajectory by enabling more standardized builds and potentially competitive costs, but the technology is still in early commercialization and faces technological headwinds, with first deployments expected in the early 2030s at the earliest. Safety concerns and supply chain constraints, including a tightening uranium market, further complicate the outlook for rapid nuclear expansion.</w:t>
      </w:r>
    </w:p>
    <w:p>
      <w:pPr>
        <w:spacing w:after="0" w:line="200" w:lineRule="exact"/>
        <w:rPr>
          <w:sz w:val="20"/>
          <w:szCs w:val="20"/>
          <w:color w:val="auto"/>
        </w:rPr>
      </w:pPr>
    </w:p>
    <w:p>
      <w:pPr>
        <w:sectPr>
          <w:pgSz w:w="11900" w:h="16838" w:orient="portrait"/>
          <w:cols w:equalWidth="0" w:num="2">
            <w:col w:w="1460" w:space="200"/>
            <w:col w:w="7359"/>
          </w:cols>
          <w:pgMar w:left="1440" w:top="1440" w:right="1440"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Innovative Solution</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have successfully applied proven technological innovations from the American oil and gas industry to kickstart what we expect to be another great American industry: next-generation geothermal. Across every layer of our technology stack, we endeavor to target and systematically eliminate key constraints to traditional geothermal development to make geothermal energy the most dependable and affordable source of power in America.</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Conventional geothermal developers cede control of their projects to the whims of subsurface geology, relying on natural fracture networks in hot rock to access heat for power generation. This approach restricts development to a select few locations with adequate subsurface conditions, introduces binary dry hole risk given the unpredictability of natural fractures, and imposes a fixed upper bound on reservoir-wide power output. Constrained by the resource size available in natural fractures, conventional geothermal developers have historically been unable to drill new wells to make up additional capacity if projects underperform, adding additional tail risk after the project is built.</w:t>
      </w:r>
    </w:p>
    <w:p>
      <w:pPr>
        <w:spacing w:after="0" w:line="101" w:lineRule="exact"/>
        <w:rPr>
          <w:sz w:val="20"/>
          <w:szCs w:val="20"/>
          <w:color w:val="auto"/>
        </w:rPr>
      </w:pPr>
    </w:p>
    <w:p>
      <w:pPr>
        <w:ind w:left="1160" w:right="1179" w:firstLine="258"/>
        <w:spacing w:after="0" w:line="173" w:lineRule="exact"/>
        <w:rPr>
          <w:sz w:val="20"/>
          <w:szCs w:val="20"/>
          <w:color w:val="auto"/>
        </w:rPr>
      </w:pPr>
      <w:r>
        <w:rPr>
          <w:rFonts w:ascii="Times New Roman" w:cs="Times New Roman" w:eastAsia="Times New Roman" w:hAnsi="Times New Roman"/>
          <w:sz w:val="14"/>
          <w:szCs w:val="14"/>
          <w:color w:val="auto"/>
        </w:rPr>
        <w:t>Rather than accept the variability of drilling vertical wells into a natural fracture network, we use proven technology from the oil and gas industry to build a tightly controlled system for heat extraction in low-permeability geothermal formations. We engineer these reservoirs by drilling sets of parallel horizontal injection and production wells through hot rock, accessing a zone of the geothermal reservoir with a highly predictable volume of heat in place. We then use multistage hydraulic fracturing to connect the wells, establishing pathways and sufficient surface area in the rock through which water can flow, heat up, and return to the surface for power generation. We also install AI-enhanced fiber optic sensing cables to measure reservoir conditions in real-time. This data is then used to continuously monitor flow rates, pressures, and temperatures across the wellfield, allowing us to predict and optimize future well output. Our proprietary, data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assimilative models integrate continuous temperature and pressure profiles to update reservoir state in real time, enabling more accurate production forecasts and proactive decisions to sustain deliverability and recoverable heat. Our approach allows us to actively manage long-term reservoir performance; if production falls off in any part of the field, we are able to drill infill wells or simply drill new wells to mine additional heat and extend overall reservoir lifetime.</w:t>
      </w:r>
    </w:p>
    <w:p>
      <w:pPr>
        <w:sectPr>
          <w:pgSz w:w="11900" w:h="16838" w:orient="portrait"/>
          <w:cols w:equalWidth="0" w:num="1">
            <w:col w:w="9019"/>
          </w:cols>
          <w:pgMar w:left="1440" w:top="1440" w:right="1440" w:bottom="1440" w:gutter="0" w:footer="0" w:header="0"/>
          <w:type w:val="continuous"/>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Instead of creating separate one-off vertical wells (each with a separate well pad) across a field, we can access vast quantities of subsurface heat by drilling many horizontal wells from a single pad with a compact footprint, dramatically reducing land disturbance. This approach replicates the successful wellfield design used in the shale oil and gas revolution. However, unlike in shale, where operators typically target specific and sometimes narrow payzones, we can access progressively hotter rock the deeper we drill. Our reservoir is only bounded by temperature, with the minimum temperature established by power plant efficiency and the maximum temperature established by the temperature limits of subsurface equipment. At present, we apply a minimum reservoir temperature of approximately 300°F and a maximum reservoir temperature of approximately 625°F, and we utilize a cutoff vertical depth of about 13,000 feet to define resources we consider technically and commercially viable. These parameters may evolve over time with improvements in drilling and subsurface technology or changes in market conditions (for example, higher PPA pricing can support lower temperatures or deeper drilling). As a result, our payzones already extend thousands of feet in thickness, and we expect these will continue to grow over time as better drilling technology is developed.</w:t>
      </w:r>
    </w:p>
    <w:p>
      <w:pPr>
        <w:spacing w:after="0" w:line="2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Wellfield Production</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Data observed from our projects to date has validated our approach. In 2023, we brought our pilot, Project Red, online. The project quickly demonstrated record 24/7 carbon-free power production, generating three megawatts of gross power production to the Nevada grid and proving the commercial viability of our innovative drilling technology. Additionally, at our Project Red commercial pilot, we have observed consistent, stable temperature output in line with our modeling and expectations. To date, Project Red has not experienced the kind of premature thermal decline that has long plagued traditional geothermal projects.</w:t>
      </w:r>
    </w:p>
    <w:p>
      <w:pPr>
        <w:spacing w:after="0" w:line="101"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We apply advanced data analytics, computational modeling, and data-driven empirical modeling to generate high-fidelity production forecasts to optimize the economics of our projects. After pioneering the installation of permanent AI-enhanced fiber optics in geothermal wells, we have collected over 500 terabytes of downhole data that have been analyzed and used to improve well spacing, completion design, and wellfield optimization. With every well drilled, casing string installed, and flow test completed, we deepen our knowledge of EGS reservoirs and extend our first-mover advantage.</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Scalable Deployment</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approach is designed specifically with scale in mind. With geothermal heat recovery substantially de-risked, we can leverage a modular, standardized approach to on-surface power generation to drive cost reductions, increase deployment speed, and leverage economies of scale and flexibility in our supply chain. We plan to deploy standardized 50-megawatt ORC power facilities that we call GeoBlocks. Production wells send hot geothermal brine to a heat exchanger, where it transfers heat to a working fluid. After transferring heat, the cooled geothermal brine is reinjected underground to cycle through the geothermal reservoir again. In the heat exchanger, the working fluid is vaporized, ultimately spinning a turbine to create electricity. The vapor is then cooled back into a liquid using air-cooled condensers to minimize water usage.</w:t>
      </w:r>
    </w:p>
    <w:p>
      <w:pPr>
        <w:spacing w:after="0" w:line="103"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We have already secured binding contracts for 500 megawatts of ORC turbine capacity through partnerships with Baker Hughes and Turboden (a wholly-owned subsidiary of Mitsubishi) for our projects under construction, and have further expanded this supply through a 1.7 gigawatt ORC turbine framework agreement with Turboden. These manufacturers have longstanding ORC business units that stand apart from natural gas turbines, helping support near-term ORC supply even as gas turbines remain backlogged.</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GeoBlocks are engineered for rapid scalability. When aggregated, multiple GeoBlocks make up a GeoCluster, which we define as a multi-gigawatt geothermal power hub designed to provide substantial generation while streamlining construction and operations. With approximately 595,900 acres of geothermal leases across the United States as of December 31, 2025, we are primed to implement several GeoCluster power hubs in the next decade with the potential to support more than one power market. A majority of our leases have a 10-year initial term, and in most cases, extension options.</w:t>
      </w:r>
    </w:p>
    <w:p>
      <w:pPr>
        <w:spacing w:after="0" w:line="10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To date, all of our commercial contracts feed electrons to the power grid. But by deploying multi-gigawatt GeoClusters, we can mitigate transmission risk associated with our projects. First, the size and capacity factor of our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79"/>
        <w:spacing w:after="0" w:line="274" w:lineRule="auto"/>
        <w:rPr>
          <w:sz w:val="20"/>
          <w:szCs w:val="20"/>
          <w:color w:val="auto"/>
        </w:rPr>
      </w:pPr>
      <w:r>
        <w:rPr>
          <w:rFonts w:ascii="Times New Roman" w:cs="Times New Roman" w:eastAsia="Times New Roman" w:hAnsi="Times New Roman"/>
          <w:sz w:val="14"/>
          <w:szCs w:val="14"/>
          <w:color w:val="auto"/>
        </w:rPr>
        <w:t>projects are catalyzing partnerships with transmission developers who seek project certainty and high line utilization. We are also pursuing behind-the-meter partnerships with hyperscalers who seek large generation and high uptime. We believe that our GeoCluster approach for AI data center development pairs a repeatable, flexible</w:t>
      </w:r>
    </w:p>
    <w:p>
      <w:pPr>
        <w:sectPr>
          <w:pgSz w:w="11900" w:h="16857" w:orient="portrait"/>
          <w:cols w:equalWidth="0" w:num="1">
            <w:col w:w="9019"/>
          </w:cols>
          <w:pgMar w:left="1440" w:top="1440" w:right="1440" w:bottom="0" w:gutter="0" w:footer="0" w:header="0"/>
        </w:sectPr>
      </w:pPr>
    </w:p>
    <w:bookmarkStart w:id="92" w:name="page93"/>
    <w:bookmarkEnd w:id="92"/>
    <w:p>
      <w:pPr>
        <w:ind w:left="1160" w:right="1519"/>
        <w:spacing w:after="0" w:line="233" w:lineRule="auto"/>
        <w:rPr>
          <w:sz w:val="20"/>
          <w:szCs w:val="20"/>
          <w:color w:val="auto"/>
        </w:rPr>
      </w:pPr>
      <w:r>
        <w:rPr>
          <w:rFonts w:ascii="Times New Roman" w:cs="Times New Roman" w:eastAsia="Times New Roman" w:hAnsi="Times New Roman"/>
          <w:sz w:val="14"/>
          <w:szCs w:val="14"/>
          <w:color w:val="auto"/>
        </w:rPr>
        <w:t>commercial framework with a modular, scalable power solution aligned with hyperscale customer demand and supports definitive offtake agreements over time. Ultimately, we can blend behind-the-meter and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solutions, maximizing resilience and redundancy at a single site.</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customers have the following profile:</w:t>
      </w:r>
    </w:p>
    <w:p>
      <w:pPr>
        <w:spacing w:after="0" w:line="136" w:lineRule="exact"/>
        <w:rPr>
          <w:sz w:val="20"/>
          <w:szCs w:val="20"/>
          <w:color w:val="auto"/>
        </w:rPr>
      </w:pPr>
    </w:p>
    <w:p>
      <w:pPr>
        <w:ind w:left="1660" w:right="1299" w:hanging="249"/>
        <w:spacing w:after="0" w:line="270" w:lineRule="auto"/>
        <w:tabs>
          <w:tab w:leader="none" w:pos="16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want reliability </w:t>
      </w:r>
      <w:r>
        <w:rPr>
          <w:rFonts w:ascii="Times New Roman" w:cs="Times New Roman" w:eastAsia="Times New Roman" w:hAnsi="Times New Roman"/>
          <w:sz w:val="14"/>
          <w:szCs w:val="14"/>
          <w:color w:val="auto"/>
        </w:rPr>
        <w:t>. Utilities cannot replace baseload coal and nuclear plants with solely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intermittent resources such as wind and solar power. To ensure a safe, functional and reliable grid capable of addressing demand peaks, utilities must procure a new generation of baseload options. Likewise, hyperscalers demand reliability to maximize uptime for their AI models.</w:t>
      </w:r>
    </w:p>
    <w:p>
      <w:pPr>
        <w:spacing w:after="0" w:line="91" w:lineRule="exact"/>
        <w:rPr>
          <w:rFonts w:ascii="Times New Roman" w:cs="Times New Roman" w:eastAsia="Times New Roman" w:hAnsi="Times New Roman"/>
          <w:sz w:val="14"/>
          <w:szCs w:val="14"/>
          <w:color w:val="auto"/>
        </w:rPr>
      </w:pPr>
    </w:p>
    <w:p>
      <w:pPr>
        <w:ind w:left="1660" w:right="1199" w:hanging="249"/>
        <w:spacing w:after="0" w:line="262" w:lineRule="auto"/>
        <w:tabs>
          <w:tab w:leader="none" w:pos="16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seek a near-term solution </w:t>
      </w:r>
      <w:r>
        <w:rPr>
          <w:rFonts w:ascii="Times New Roman" w:cs="Times New Roman" w:eastAsia="Times New Roman" w:hAnsi="Times New Roman"/>
          <w:sz w:val="14"/>
          <w:szCs w:val="14"/>
          <w:color w:val="auto"/>
        </w:rPr>
        <w:t>. Power buyers place a premium on near-term deliverability.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race for AI dominance, hyperscalers continue to construct additional data center capacity to avoid falling behind their foreign and domestic competitors. This arms race mentality has pushed leading AI companies to go to extreme lengths to obtain more power. For example, xAI has taken the extraordinary step of purchasing a natural gas power plant overseas and shipping it to the U.S. to power a 2-gigawatt data center. Utilities, too, recognize the time-sensitivity of bringing new supply online. According to Rystad, many states across the western United States could face capacity shortfalls by 2031. To address this risk, utility commissions are increasingly pushing load-serving entities to procure additional reliable power.</w:t>
      </w:r>
    </w:p>
    <w:p>
      <w:pPr>
        <w:spacing w:after="0" w:line="97" w:lineRule="exact"/>
        <w:rPr>
          <w:rFonts w:ascii="Times New Roman" w:cs="Times New Roman" w:eastAsia="Times New Roman" w:hAnsi="Times New Roman"/>
          <w:sz w:val="14"/>
          <w:szCs w:val="14"/>
          <w:color w:val="auto"/>
        </w:rPr>
      </w:pPr>
    </w:p>
    <w:p>
      <w:pPr>
        <w:jc w:val="both"/>
        <w:ind w:left="1660" w:right="1239" w:hanging="249"/>
        <w:spacing w:after="0" w:line="277" w:lineRule="auto"/>
        <w:tabs>
          <w:tab w:leader="none" w:pos="16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demand cost-competitiveness </w:t>
      </w:r>
      <w:r>
        <w:rPr>
          <w:rFonts w:ascii="Times New Roman" w:cs="Times New Roman" w:eastAsia="Times New Roman" w:hAnsi="Times New Roman"/>
          <w:sz w:val="14"/>
          <w:szCs w:val="14"/>
          <w:color w:val="auto"/>
        </w:rPr>
        <w:t>. Even as PPA prices continue to rise, buyers maintain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ceilings above which baseload power procurement remains unattractive. Especially as popular attention on electricity prices increases, utilities will have to guard against serious cost inflation to remain viable.</w:t>
      </w:r>
    </w:p>
    <w:p>
      <w:pPr>
        <w:spacing w:after="0" w:line="86" w:lineRule="exact"/>
        <w:rPr>
          <w:rFonts w:ascii="Times New Roman" w:cs="Times New Roman" w:eastAsia="Times New Roman" w:hAnsi="Times New Roman"/>
          <w:sz w:val="14"/>
          <w:szCs w:val="14"/>
          <w:color w:val="auto"/>
        </w:rPr>
      </w:pPr>
    </w:p>
    <w:p>
      <w:pPr>
        <w:ind w:left="1660" w:right="1219" w:hanging="249"/>
        <w:spacing w:after="0" w:line="270" w:lineRule="auto"/>
        <w:tabs>
          <w:tab w:leader="none" w:pos="16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Customers who seek carbon-free solutions </w:t>
      </w:r>
      <w:r>
        <w:rPr>
          <w:rFonts w:ascii="Times New Roman" w:cs="Times New Roman" w:eastAsia="Times New Roman" w:hAnsi="Times New Roman"/>
          <w:sz w:val="14"/>
          <w:szCs w:val="14"/>
          <w:color w:val="auto"/>
        </w:rPr>
        <w:t>. Whether because of state-level renewable energy mandates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voluntary emissions reduction commitments, a wide variety of buyers continue to prioritize carbon-free, clean energy sources. For utilities in certain jurisdictions, political pressure has increased the urgency of clean power procurement.</w:t>
      </w:r>
    </w:p>
    <w:p>
      <w:pPr>
        <w:spacing w:after="0" w:line="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EGS technology we pioneered is very well suited to meet our customers’ power procurement needs:</w:t>
      </w:r>
    </w:p>
    <w:p>
      <w:pPr>
        <w:spacing w:after="0" w:line="136" w:lineRule="exact"/>
        <w:rPr>
          <w:sz w:val="20"/>
          <w:szCs w:val="20"/>
          <w:color w:val="auto"/>
        </w:rPr>
      </w:pPr>
    </w:p>
    <w:p>
      <w:pPr>
        <w:ind w:left="1660" w:right="1639" w:hanging="249"/>
        <w:spacing w:after="0" w:line="298"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offer reliability </w:t>
      </w:r>
      <w:r>
        <w:rPr>
          <w:rFonts w:ascii="Times New Roman" w:cs="Times New Roman" w:eastAsia="Times New Roman" w:hAnsi="Times New Roman"/>
          <w:sz w:val="14"/>
          <w:szCs w:val="14"/>
          <w:color w:val="auto"/>
        </w:rPr>
        <w:t>. EGS projects provide high-capacity-factor baseload power, with no fuel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exposure.</w:t>
      </w:r>
    </w:p>
    <w:p>
      <w:pPr>
        <w:spacing w:after="0" w:line="72" w:lineRule="exact"/>
        <w:rPr>
          <w:rFonts w:ascii="Times New Roman" w:cs="Times New Roman" w:eastAsia="Times New Roman" w:hAnsi="Times New Roman"/>
          <w:sz w:val="14"/>
          <w:szCs w:val="14"/>
          <w:color w:val="auto"/>
        </w:rPr>
      </w:pPr>
    </w:p>
    <w:p>
      <w:pPr>
        <w:ind w:left="1660" w:right="1359" w:hanging="249"/>
        <w:spacing w:after="0" w:line="270"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deliver power now </w:t>
      </w:r>
      <w:r>
        <w:rPr>
          <w:rFonts w:ascii="Times New Roman" w:cs="Times New Roman" w:eastAsia="Times New Roman" w:hAnsi="Times New Roman"/>
          <w:sz w:val="14"/>
          <w:szCs w:val="14"/>
          <w:color w:val="auto"/>
        </w:rPr>
        <w:t>. Our EGS technology is one of the few 24/7 power solutions capable of bringing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incremental generation online before 2030. We expect to begin delivering first power from our 500-megawatt Cape Station project by late 2026, and to reach approximately 100 megawatts of operating capacity by early 2027.</w:t>
      </w:r>
    </w:p>
    <w:p>
      <w:pPr>
        <w:spacing w:after="0" w:line="91" w:lineRule="exact"/>
        <w:rPr>
          <w:rFonts w:ascii="Times New Roman" w:cs="Times New Roman" w:eastAsia="Times New Roman" w:hAnsi="Times New Roman"/>
          <w:sz w:val="14"/>
          <w:szCs w:val="14"/>
          <w:color w:val="auto"/>
        </w:rPr>
      </w:pPr>
    </w:p>
    <w:p>
      <w:pPr>
        <w:ind w:left="1660" w:right="1279" w:hanging="249"/>
        <w:spacing w:after="0" w:line="260"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offer an economic, non-volatile alternative </w:t>
      </w:r>
      <w:r>
        <w:rPr>
          <w:rFonts w:ascii="Times New Roman" w:cs="Times New Roman" w:eastAsia="Times New Roman" w:hAnsi="Times New Roman"/>
          <w:sz w:val="14"/>
          <w:szCs w:val="14"/>
          <w:color w:val="auto"/>
        </w:rPr>
        <w:t>. At approximately $7,000/kW, our first Cape Station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already outcompetes both traditional and small modular nuclear power in overnight capital costs. Over time, our goal is to achieve scale and drive down prices such that we’re able to outcompete gas by achieving an Nth-of-a-kind project cost of $3,000/kW without fuel price exposure. Unlike conventional power producers, our “fuel” is geothermal heat. The cost of accessing it is embedded upfront in our subsurface capital expenditures and water systems, not in an ongoing commodity expense. By eliminating exposure to commodity price swings, we intend to deliver predictable, contractable pricing that reduces hedging costs and risk premiums, which we believe provides economic value that our customers will recognize and be willing to pay to secure. Beyond delivering power, we also sell multiple products, including energy, capacity and environmental attributes. This mix supports premium pricing and stronger margins as markets increasingly value clean, 24/7 capacity and verified environmental attributes. This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439"/>
        <w:spacing w:after="0" w:line="292" w:lineRule="auto"/>
        <w:rPr>
          <w:sz w:val="20"/>
          <w:szCs w:val="20"/>
          <w:color w:val="auto"/>
        </w:rPr>
      </w:pPr>
      <w:r>
        <w:rPr>
          <w:rFonts w:ascii="Times New Roman" w:cs="Times New Roman" w:eastAsia="Times New Roman" w:hAnsi="Times New Roman"/>
          <w:sz w:val="14"/>
          <w:szCs w:val="14"/>
          <w:color w:val="auto"/>
        </w:rPr>
        <w:t>fundamental advantage distinguishes us from traditional power companies and underpins the long-term stability of our cost structure.</w:t>
      </w:r>
    </w:p>
    <w:p>
      <w:pPr>
        <w:spacing w:after="0" w:line="77" w:lineRule="exact"/>
        <w:rPr>
          <w:sz w:val="20"/>
          <w:szCs w:val="20"/>
          <w:color w:val="auto"/>
        </w:rPr>
      </w:pPr>
    </w:p>
    <w:p>
      <w:pPr>
        <w:ind w:left="1660" w:right="1179" w:hanging="249"/>
        <w:spacing w:after="0" w:line="270" w:lineRule="auto"/>
        <w:tabs>
          <w:tab w:leader="none" w:pos="16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We offer carbon-free, renewable power </w:t>
      </w:r>
      <w:r>
        <w:rPr>
          <w:rFonts w:ascii="Times New Roman" w:cs="Times New Roman" w:eastAsia="Times New Roman" w:hAnsi="Times New Roman"/>
          <w:sz w:val="14"/>
          <w:szCs w:val="14"/>
          <w:color w:val="auto"/>
        </w:rPr>
        <w:t>. According to the Department of Energy, EGS projects using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binary-cycle ORC power plants have a fraction of the emissions footprint as natural gas plants. The carbon-free nature of our product makes EGS especially attractive in states with time-sensitive, ambitious renewable portfolio standards and for corporate buyers who seek to maintain their climate goals.</w:t>
      </w:r>
    </w:p>
    <w:p>
      <w:pPr>
        <w:spacing w:after="0" w:line="96"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These core attributes (reliability, deliverability, cost-competitiveness, and carbon-free) position our EGS technology ahead of other power options, allowing us to capitalize on high, inelastic power demand.</w:t>
      </w:r>
    </w:p>
    <w:p>
      <w:pPr>
        <w:sectPr>
          <w:pgSz w:w="11900" w:h="16838" w:orient="portrait"/>
          <w:cols w:equalWidth="0" w:num="1">
            <w:col w:w="9019"/>
          </w:cols>
          <w:pgMar w:left="1440" w:top="94" w:right="1440" w:bottom="1440" w:gutter="0" w:footer="0" w:header="0"/>
        </w:sectPr>
      </w:pPr>
    </w:p>
    <w:bookmarkStart w:id="93" w:name="page94"/>
    <w:bookmarkEnd w:id="93"/>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Sources: Rystad Energy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-67945</wp:posOffset>
            </wp:positionV>
            <wp:extent cx="716026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38" w:lineRule="exact"/>
        <w:rPr>
          <w:sz w:val="20"/>
          <w:szCs w:val="20"/>
          <w:color w:val="auto"/>
        </w:rPr>
      </w:pPr>
    </w:p>
    <w:p>
      <w:pPr>
        <w:ind w:left="1660" w:right="1159" w:hanging="249"/>
        <w:spacing w:after="0" w:line="258" w:lineRule="auto"/>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First-Mover Advantage with Highly Advanced Development Portfolio </w:t>
      </w:r>
      <w:r>
        <w:rPr>
          <w:rFonts w:ascii="Times New Roman" w:cs="Times New Roman" w:eastAsia="Times New Roman" w:hAnsi="Times New Roman"/>
          <w:sz w:val="14"/>
          <w:szCs w:val="14"/>
          <w:color w:val="auto"/>
        </w:rPr>
        <w:t>: We are the global pioneer of EGS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We successfully drilled and stimulated the country’s first commercial EGS wells at our pilot, Project Red. With an operating pilot and two and a half years of 500 megawatts of greenfield construction underway, including over 25 wells drilled, we maintain a significant first-mover lead in the EGS space. These wells were drilled at our Cape Station project in Beaver County near Milford, Utah, and at Project Red adjacent to the Blue Mountain geothermal field near Winnemucca in Humboldt County, Nevada. As of December 31, 2025, our projects under construction accounted for approximately 13% of all geothermal capacity under construction in the United States. By reducing subsurface risk in geothermal heat recovery, we have increased the velocity with which megawatts can move through our development pipeline. Additionally, with 595,900 leased acres as of December 31, 2025, we hold what we believe to be one of the U.S.’s largest portfolios of high-quality geothermal leases. We assembled this position at a weighted average of approximately $4 per acre during a period of minimal competition between 2019 and 2021, in</w:t>
      </w:r>
    </w:p>
    <w:p>
      <w:pPr>
        <w:spacing w:after="0" w:line="3" w:lineRule="exact"/>
        <w:rPr>
          <w:sz w:val="20"/>
          <w:szCs w:val="20"/>
          <w:color w:val="auto"/>
        </w:rPr>
      </w:pPr>
    </w:p>
    <w:p>
      <w:pPr>
        <w:ind w:left="1660" w:right="1179"/>
        <w:spacing w:after="0" w:line="260" w:lineRule="auto"/>
        <w:rPr>
          <w:sz w:val="20"/>
          <w:szCs w:val="20"/>
          <w:color w:val="auto"/>
        </w:rPr>
      </w:pPr>
      <w:r>
        <w:rPr>
          <w:rFonts w:ascii="Times New Roman" w:cs="Times New Roman" w:eastAsia="Times New Roman" w:hAnsi="Times New Roman"/>
          <w:sz w:val="14"/>
          <w:szCs w:val="14"/>
          <w:color w:val="auto"/>
        </w:rPr>
        <w:t>sharp contrast to current U.S. Bureau of Land Management lease sales in Utah and Nevada, where maximum bids reached $344 and $410 per acre, respectively, in 2025. Many of those newly auctioned parcels did not meet our standards for high-priority development and thus were outside our initial focus areas, reflecting the quality of our acreage. According to Bloomberg, certain geothermal developers in Utah and Nevada have paid hundreds of dollars per acre in 2025 for geothermal positions that failed to meet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39"/>
        <w:spacing w:after="0" w:line="292" w:lineRule="auto"/>
        <w:rPr>
          <w:sz w:val="20"/>
          <w:szCs w:val="20"/>
          <w:color w:val="auto"/>
        </w:rPr>
      </w:pPr>
      <w:r>
        <w:rPr>
          <w:rFonts w:ascii="Times New Roman" w:cs="Times New Roman" w:eastAsia="Times New Roman" w:hAnsi="Times New Roman"/>
          <w:sz w:val="14"/>
          <w:szCs w:val="14"/>
          <w:color w:val="auto"/>
        </w:rPr>
        <w:t>development standards. We are thus uniquely positioned as a first mover to capitalize on surging demand for clean, firm, reliable power.</w:t>
      </w:r>
    </w:p>
    <w:p>
      <w:pPr>
        <w:spacing w:after="0" w:line="77" w:lineRule="exact"/>
        <w:rPr>
          <w:sz w:val="20"/>
          <w:szCs w:val="20"/>
          <w:color w:val="auto"/>
        </w:rPr>
      </w:pPr>
    </w:p>
    <w:p>
      <w:pPr>
        <w:ind w:left="1660" w:right="1179" w:hanging="249"/>
        <w:spacing w:after="0" w:line="262" w:lineRule="auto"/>
        <w:tabs>
          <w:tab w:leader="none" w:pos="1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Proven Ability to Secure Binding, Long-Term Offtake </w:t>
      </w:r>
      <w:r>
        <w:rPr>
          <w:rFonts w:ascii="Times New Roman" w:cs="Times New Roman" w:eastAsia="Times New Roman" w:hAnsi="Times New Roman"/>
          <w:sz w:val="14"/>
          <w:szCs w:val="14"/>
          <w:color w:val="auto"/>
        </w:rPr>
        <w:t>: We have executed 658 megawatts of binding PPAs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across each of our target customer verticals, including hyperscalers, major utilities (Southern California Edison), community choice aggregators (Clean Power Alliance and Desert Community Energy) and supermajor energy companies (Shell). These contracts were executed at attractive prices, representing approximately $7.2 billion in potential revenue backlog. This commercial momentum is further bolstered by a 3-gigawatt framework agreement with Google. Though not a binding, project-specific PPA, the agreement provides a structured roadmap for future capacity expansion and establishes a repeatable model for large-scale corporate offtake.</w:t>
      </w:r>
    </w:p>
    <w:p>
      <w:pPr>
        <w:spacing w:after="0" w:line="97" w:lineRule="exact"/>
        <w:rPr>
          <w:rFonts w:ascii="Times New Roman" w:cs="Times New Roman" w:eastAsia="Times New Roman" w:hAnsi="Times New Roman"/>
          <w:sz w:val="14"/>
          <w:szCs w:val="14"/>
          <w:color w:val="auto"/>
        </w:rPr>
      </w:pPr>
    </w:p>
    <w:p>
      <w:pPr>
        <w:ind w:left="1660" w:right="1219" w:hanging="249"/>
        <w:spacing w:after="0" w:line="262" w:lineRule="auto"/>
        <w:tabs>
          <w:tab w:leader="none" w:pos="1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Modular Design Enabling Speed to Power and Economies of Scale </w:t>
      </w:r>
      <w:r>
        <w:rPr>
          <w:rFonts w:ascii="Times New Roman" w:cs="Times New Roman" w:eastAsia="Times New Roman" w:hAnsi="Times New Roman"/>
          <w:sz w:val="14"/>
          <w:szCs w:val="14"/>
          <w:color w:val="auto"/>
        </w:rPr>
        <w:t>: We intend to deploy our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50-megawatt GeoBlocks, standardized ORC power units that we anticipate will extend our learning curves from wellfield development to geothermal power plant construction. We expect to further support these learning curves by concentrating our operations in multi-gigawatt GeoClusters. Each cluster can support hundreds of EGS wells and dozens of adjacent GeoBlocks, creating unprecedented economies of scale in the geothermal industry. We believe that this approach will make our cost-competitive EGS solution increasingly attractive to high credit-quality offtakers and will assist us in catering to AI hyperscalers that require speed-to-power, gigawatt-scale energy access, and 24/7 availability.</w:t>
      </w:r>
    </w:p>
    <w:p>
      <w:pPr>
        <w:spacing w:after="0" w:line="97" w:lineRule="exact"/>
        <w:rPr>
          <w:rFonts w:ascii="Times New Roman" w:cs="Times New Roman" w:eastAsia="Times New Roman" w:hAnsi="Times New Roman"/>
          <w:sz w:val="14"/>
          <w:szCs w:val="14"/>
          <w:color w:val="auto"/>
        </w:rPr>
      </w:pPr>
    </w:p>
    <w:p>
      <w:pPr>
        <w:ind w:left="1660" w:right="1159" w:hanging="249"/>
        <w:spacing w:after="0" w:line="262" w:lineRule="auto"/>
        <w:tabs>
          <w:tab w:leader="none" w:pos="1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Demonstrated Access to Asset-Level Capital Enables Financial Flexibility </w:t>
      </w:r>
      <w:r>
        <w:rPr>
          <w:rFonts w:ascii="Times New Roman" w:cs="Times New Roman" w:eastAsia="Times New Roman" w:hAnsi="Times New Roman"/>
          <w:sz w:val="14"/>
          <w:szCs w:val="14"/>
          <w:color w:val="auto"/>
        </w:rPr>
        <w:t>: As of December 31, 2025,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had raised $320.6 million of project level capital, comprised of $175.0 million of project-level equity and $145.6 million of project-level debt. Subsequently, on March 6, 2026, we closed an approximately $421.4 million project finance credit facility with a syndicate of nine lenders (the “Project Granite Facility”) for the first phase of our Cape Station development. Our relationships with leading capital providers give us the flexibility to secure lower-cost, non-dilutive project-level financing, extending the runway of our corporate funds while accelerating deployment and substantially de-risking our funding strategy through diversified sources of capital.</w:t>
      </w:r>
    </w:p>
    <w:p>
      <w:pPr>
        <w:spacing w:after="0" w:line="97" w:lineRule="exact"/>
        <w:rPr>
          <w:rFonts w:ascii="Times New Roman" w:cs="Times New Roman" w:eastAsia="Times New Roman" w:hAnsi="Times New Roman"/>
          <w:sz w:val="14"/>
          <w:szCs w:val="14"/>
          <w:color w:val="auto"/>
        </w:rPr>
      </w:pPr>
    </w:p>
    <w:p>
      <w:pPr>
        <w:ind w:left="1660" w:right="1259" w:hanging="249"/>
        <w:spacing w:after="0" w:line="270" w:lineRule="auto"/>
        <w:tabs>
          <w:tab w:leader="none" w:pos="1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Robust Intellectual Property Portfolio </w:t>
      </w:r>
      <w:r>
        <w:rPr>
          <w:rFonts w:ascii="Times New Roman" w:cs="Times New Roman" w:eastAsia="Times New Roman" w:hAnsi="Times New Roman"/>
          <w:sz w:val="14"/>
          <w:szCs w:val="14"/>
          <w:color w:val="auto"/>
        </w:rPr>
        <w:t>: We have a comprehensive intellectual property portfolio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includes patents and trade secrets covering many material proprietary aspects of our EGS technology. Our key patents and trade secrets deter competitors from employing critical but protected processes required to create and manage the subsurface flow of geothermal brine.</w:t>
      </w:r>
    </w:p>
    <w:p>
      <w:pPr>
        <w:spacing w:after="0" w:line="92" w:lineRule="exact"/>
        <w:rPr>
          <w:sz w:val="20"/>
          <w:szCs w:val="20"/>
          <w:color w:val="auto"/>
        </w:rPr>
      </w:pPr>
    </w:p>
    <w:p>
      <w:pPr>
        <w:ind w:left="1420"/>
        <w:spacing w:after="0"/>
        <w:tabs>
          <w:tab w:leader="none" w:pos="1640" w:val="left"/>
          <w:tab w:leader="none" w:pos="59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Resilient Development Approach Leveraging Secure Supply Chain</w:t>
      </w:r>
      <w:r>
        <w:rPr>
          <w:sz w:val="20"/>
          <w:szCs w:val="20"/>
          <w:color w:val="auto"/>
        </w:rPr>
        <w:tab/>
      </w:r>
      <w:r>
        <w:rPr>
          <w:rFonts w:ascii="Times New Roman" w:cs="Times New Roman" w:eastAsia="Times New Roman" w:hAnsi="Times New Roman"/>
          <w:sz w:val="14"/>
          <w:szCs w:val="14"/>
          <w:color w:val="auto"/>
        </w:rPr>
        <w:t>: We have proven capable of</w:t>
      </w:r>
    </w:p>
    <w:p>
      <w:pPr>
        <w:spacing w:after="0" w:line="29" w:lineRule="exact"/>
        <w:rPr>
          <w:sz w:val="20"/>
          <w:szCs w:val="20"/>
          <w:color w:val="auto"/>
        </w:rPr>
      </w:pPr>
    </w:p>
    <w:p>
      <w:pPr>
        <w:ind w:left="1660" w:right="1339"/>
        <w:spacing w:after="0" w:line="256" w:lineRule="auto"/>
        <w:rPr>
          <w:sz w:val="20"/>
          <w:szCs w:val="20"/>
          <w:color w:val="auto"/>
        </w:rPr>
      </w:pPr>
      <w:r>
        <w:rPr>
          <w:rFonts w:ascii="Times New Roman" w:cs="Times New Roman" w:eastAsia="Times New Roman" w:hAnsi="Times New Roman"/>
          <w:sz w:val="14"/>
          <w:szCs w:val="14"/>
          <w:color w:val="auto"/>
        </w:rPr>
        <w:t>seamlessly scaling our operations through partnerships with well-established oilfield services providers such as Liberty Energy, Helmerich &amp; Payne and Vallourec. We have also developed durable partnerships</w:t>
      </w:r>
    </w:p>
    <w:p>
      <w:pPr>
        <w:ind w:left="1660" w:right="1239"/>
        <w:spacing w:after="0" w:line="261" w:lineRule="auto"/>
        <w:rPr>
          <w:sz w:val="20"/>
          <w:szCs w:val="20"/>
          <w:color w:val="auto"/>
        </w:rPr>
      </w:pPr>
      <w:r>
        <w:rPr>
          <w:rFonts w:ascii="Times New Roman" w:cs="Times New Roman" w:eastAsia="Times New Roman" w:hAnsi="Times New Roman"/>
          <w:sz w:val="14"/>
          <w:szCs w:val="14"/>
          <w:color w:val="auto"/>
        </w:rPr>
        <w:t>with ORC turbine manufacturers from key U.S. partner nations, such as Turboden (a wholly-owned subsidiary of Mitsubishi) and Baker Hughes, which remain relatively insulated from tariffs and procurement backlogs that are currently impacting natural gas turbines, along with primarily U.S. headquartered balance of plant equipment providers.</w:t>
      </w:r>
    </w:p>
    <w:p>
      <w:pPr>
        <w:spacing w:after="0" w:line="98" w:lineRule="exact"/>
        <w:rPr>
          <w:sz w:val="20"/>
          <w:szCs w:val="20"/>
          <w:color w:val="auto"/>
        </w:rPr>
      </w:pPr>
    </w:p>
    <w:p>
      <w:pPr>
        <w:ind w:left="1660" w:right="1239" w:hanging="249"/>
        <w:spacing w:after="0" w:line="270"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Founder-Led Management Team </w:t>
      </w:r>
      <w:r>
        <w:rPr>
          <w:rFonts w:ascii="Times New Roman" w:cs="Times New Roman" w:eastAsia="Times New Roman" w:hAnsi="Times New Roman"/>
          <w:sz w:val="14"/>
          <w:szCs w:val="14"/>
          <w:color w:val="auto"/>
        </w:rPr>
        <w:t>: Co-founders Tim Latimer and Dr. Jack Norbeck, along with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leadership team, have over 125 years of energy experience across companies in upstream oil and gas, oilfield services, and power and renewables, including Shell, BP, Chevron, BHP Billiton, NRG, Hess, SLB, and NOV.</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Growth Opportunities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principal growth strategies include:</w:t>
      </w:r>
    </w:p>
    <w:p>
      <w:pPr>
        <w:spacing w:after="0" w:line="136" w:lineRule="exact"/>
        <w:rPr>
          <w:sz w:val="20"/>
          <w:szCs w:val="20"/>
          <w:color w:val="auto"/>
        </w:rPr>
      </w:pPr>
    </w:p>
    <w:p>
      <w:pPr>
        <w:ind w:left="1660" w:right="1259" w:hanging="249"/>
        <w:spacing w:after="0" w:line="270" w:lineRule="auto"/>
        <w:tabs>
          <w:tab w:leader="none" w:pos="16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Progress GeoCluster Development: </w:t>
      </w:r>
      <w:r>
        <w:rPr>
          <w:rFonts w:ascii="Times New Roman" w:cs="Times New Roman" w:eastAsia="Times New Roman" w:hAnsi="Times New Roman"/>
          <w:sz w:val="14"/>
          <w:szCs w:val="14"/>
          <w:color w:val="auto"/>
        </w:rPr>
        <w:t>We have one gigawatt included in our Mature projects portfolio,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500 megawatts categorized as Under Construction at our flagship GeoCluster Cape Station, with commercial contracts in place and physical work underway. Additionally, we have 550 megawatts that we categorize as Ready to Build across two different GeoClusters. These projects have already achieved key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96" w:orient="portrait"/>
          <w:cols w:equalWidth="0" w:num="1">
            <w:col w:w="9019"/>
          </w:cols>
          <w:pgMar w:left="1440" w:top="1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96" w:orient="portrait"/>
          <w:cols w:equalWidth="0" w:num="1">
            <w:col w:w="9019"/>
          </w:cols>
          <w:pgMar w:left="1440" w:top="121" w:right="1440" w:bottom="0" w:gutter="0" w:footer="0" w:header="0"/>
          <w:type w:val="continuous"/>
        </w:sectPr>
      </w:pPr>
    </w:p>
    <w:bookmarkStart w:id="94" w:name="page95"/>
    <w:bookmarkEnd w:id="94"/>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right="1199"/>
        <w:spacing w:after="0" w:line="262" w:lineRule="auto"/>
        <w:rPr>
          <w:sz w:val="20"/>
          <w:szCs w:val="20"/>
          <w:color w:val="auto"/>
        </w:rPr>
      </w:pPr>
      <w:r>
        <w:rPr>
          <w:rFonts w:ascii="Times New Roman" w:cs="Times New Roman" w:eastAsia="Times New Roman" w:hAnsi="Times New Roman"/>
          <w:sz w:val="14"/>
          <w:szCs w:val="14"/>
          <w:color w:val="auto"/>
        </w:rPr>
        <w:t>development milestones, which have substantially derisked commercialization. We also have over 40 gigawatts in our Pipeline project portfolio, with 2.6 gigawatts categorized as under Advanced Development and over 38 gigawatts under Early Development across ten GeoClusters. There are significant remaining opportunities for development in our Prospects portfolio that spans the 595,900 acres of leased acreage currently maintained in our portfolio. We aim to pursue development on our robust pipeline at a more accelerated pace beyond 2030. See “Prospectus Summary—Our Project Pipeline” for more information related to our projects.</w:t>
      </w:r>
    </w:p>
    <w:p>
      <w:pPr>
        <w:spacing w:after="0" w:line="97" w:lineRule="exact"/>
        <w:rPr>
          <w:sz w:val="20"/>
          <w:szCs w:val="20"/>
          <w:color w:val="auto"/>
        </w:rPr>
      </w:pPr>
    </w:p>
    <w:p>
      <w:pPr>
        <w:jc w:val="center"/>
        <w:ind w:right="-120"/>
        <w:spacing w:after="0"/>
        <w:tabs>
          <w:tab w:leader="none" w:pos="180" w:val="left"/>
          <w:tab w:leader="none" w:pos="2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Execute Technology Roadmap and Achieve Nth-of-a-Kind Cost Structure:</w:t>
      </w:r>
      <w:r>
        <w:rPr>
          <w:sz w:val="20"/>
          <w:szCs w:val="20"/>
          <w:color w:val="auto"/>
        </w:rPr>
        <w:tab/>
      </w:r>
      <w:r>
        <w:rPr>
          <w:rFonts w:ascii="Times New Roman" w:cs="Times New Roman" w:eastAsia="Times New Roman" w:hAnsi="Times New Roman"/>
          <w:sz w:val="14"/>
          <w:szCs w:val="14"/>
          <w:color w:val="auto"/>
        </w:rPr>
        <w:t>We believe our attractive</w:t>
      </w:r>
    </w:p>
    <w:p>
      <w:pPr>
        <w:spacing w:after="0" w:line="29" w:lineRule="exact"/>
        <w:rPr>
          <w:sz w:val="20"/>
          <w:szCs w:val="20"/>
          <w:color w:val="auto"/>
        </w:rPr>
      </w:pPr>
    </w:p>
    <w:p>
      <w:pPr>
        <w:jc w:val="both"/>
        <w:ind w:left="1660" w:right="1199"/>
        <w:spacing w:after="0" w:line="256" w:lineRule="auto"/>
        <w:rPr>
          <w:sz w:val="20"/>
          <w:szCs w:val="20"/>
          <w:color w:val="auto"/>
        </w:rPr>
      </w:pPr>
      <w:r>
        <w:rPr>
          <w:rFonts w:ascii="Times New Roman" w:cs="Times New Roman" w:eastAsia="Times New Roman" w:hAnsi="Times New Roman"/>
          <w:sz w:val="14"/>
          <w:szCs w:val="14"/>
          <w:color w:val="auto"/>
        </w:rPr>
        <w:t>asset-level returns will continue to improve, following well-established learning curves observed across the energy industry. By drilling deeper wells to access higher-temperature reservoirs, extending lateral lengths, and widening wellbore diameters, we expect to achieve progressively higher power output per well.</w:t>
      </w:r>
    </w:p>
    <w:p>
      <w:pPr>
        <w:ind w:left="1660" w:right="1199"/>
        <w:spacing w:after="0" w:line="261" w:lineRule="auto"/>
        <w:rPr>
          <w:sz w:val="20"/>
          <w:szCs w:val="20"/>
          <w:color w:val="auto"/>
        </w:rPr>
      </w:pPr>
      <w:r>
        <w:rPr>
          <w:rFonts w:ascii="Times New Roman" w:cs="Times New Roman" w:eastAsia="Times New Roman" w:hAnsi="Times New Roman"/>
          <w:sz w:val="14"/>
          <w:szCs w:val="14"/>
          <w:color w:val="auto"/>
        </w:rPr>
        <w:t>Additional cost efficiencies will come from standardizing power generation equipment, securing multi-year supply agreements, and capturing economies of scale across construction scopes. We believe these efforts will reduce our costs from the current approximately $7,000/kW, already among the lowest-cost sources of baseload power, toward our long-term target of $3,000/kW.</w:t>
      </w:r>
    </w:p>
    <w:p>
      <w:pPr>
        <w:spacing w:after="0" w:line="98" w:lineRule="exact"/>
        <w:rPr>
          <w:sz w:val="20"/>
          <w:szCs w:val="20"/>
          <w:color w:val="auto"/>
        </w:rPr>
      </w:pPr>
    </w:p>
    <w:p>
      <w:pPr>
        <w:ind w:left="1660" w:right="1179" w:hanging="249"/>
        <w:spacing w:after="0" w:line="264" w:lineRule="auto"/>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Establish Programmatic Offtake Partnerships: </w:t>
      </w:r>
      <w:r>
        <w:rPr>
          <w:rFonts w:ascii="Times New Roman" w:cs="Times New Roman" w:eastAsia="Times New Roman" w:hAnsi="Times New Roman"/>
          <w:sz w:val="14"/>
          <w:szCs w:val="14"/>
          <w:color w:val="auto"/>
        </w:rPr>
        <w:t>We are pursuing multi-year, multi-gigawatt offtake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partnerships with both utilities and hyperscalers to substantially de-risk commercial development across multiple GeoClusters. We believe that these offtake partnerships with hyperscalers – such as the 3-gigawatt GFA – will provide us with a path to potentially capitalize on predictable, long-term demand, pricing visibility, and opportunities for co-located, behind-the-meter development that will boost our positioning among AI data centers.</w:t>
      </w:r>
    </w:p>
    <w:p>
      <w:pPr>
        <w:spacing w:after="0" w:line="97" w:lineRule="exact"/>
        <w:rPr>
          <w:rFonts w:ascii="Times New Roman" w:cs="Times New Roman" w:eastAsia="Times New Roman" w:hAnsi="Times New Roman"/>
          <w:sz w:val="14"/>
          <w:szCs w:val="14"/>
          <w:color w:val="auto"/>
        </w:rPr>
      </w:pPr>
    </w:p>
    <w:p>
      <w:pPr>
        <w:ind w:left="1660" w:right="1199" w:hanging="249"/>
        <w:spacing w:after="0" w:line="261" w:lineRule="auto"/>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Geographic Scope of Development: </w:t>
      </w:r>
      <w:r>
        <w:rPr>
          <w:rFonts w:ascii="Times New Roman" w:cs="Times New Roman" w:eastAsia="Times New Roman" w:hAnsi="Times New Roman"/>
          <w:sz w:val="14"/>
          <w:szCs w:val="14"/>
          <w:color w:val="auto"/>
        </w:rPr>
        <w:t>Building on our learning curves and demonstrated progress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Red and Cape Station, we are codifying a repeatable playbook to expand commercial geothermal development beyond beachhead locations in the western United States and into other power markets where high wholesale power prices, particularly for baseload generation, present attractive growth opportunities. Over time, we intend to deploy our EGS technology outside of the United States, prioritizing jurisdictions with clear decarbonization mandates, supportive regulatory frameworks, and subsurface conditions favorable to EGS development. We intend to advance this expansion through strategic partnerships and targeted pilot projects to validate performance, adapt to local market requirements, and establish a repeatable model for international scaling.</w:t>
      </w:r>
    </w:p>
    <w:p>
      <w:pPr>
        <w:spacing w:after="0" w:line="99" w:lineRule="exact"/>
        <w:rPr>
          <w:rFonts w:ascii="Times New Roman" w:cs="Times New Roman" w:eastAsia="Times New Roman" w:hAnsi="Times New Roman"/>
          <w:sz w:val="14"/>
          <w:szCs w:val="14"/>
          <w:color w:val="auto"/>
        </w:rPr>
      </w:pPr>
    </w:p>
    <w:p>
      <w:pPr>
        <w:ind w:left="1660" w:right="1199" w:hanging="249"/>
        <w:spacing w:after="0" w:line="264" w:lineRule="auto"/>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Pursue Complementary Verticals: </w:t>
      </w:r>
      <w:r>
        <w:rPr>
          <w:rFonts w:ascii="Times New Roman" w:cs="Times New Roman" w:eastAsia="Times New Roman" w:hAnsi="Times New Roman"/>
          <w:sz w:val="14"/>
          <w:szCs w:val="14"/>
          <w:color w:val="auto"/>
        </w:rPr>
        <w:t>We believe we are well positioned to leverage our proven approach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enter adjacent markets, including energy storage, industrial process heat, and district heating. We are one of the leaders in innovation for subsurface energy storage through our tested and patented approach, FervoFlex. Our ability to monetize both power and heat, moreover, distinguishes us from other power providers. By unlocking new customer segments, we believe we will be able to meet the evolving needs of industrial, commercial, municipal, and operating company energy buyers.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Properties</w:t>
      </w:r>
    </w:p>
    <w:p>
      <w:pPr>
        <w:spacing w:after="0" w:line="14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geothermal operations rely on leasehold interests obtained from federal (primarily BLM), state, and private lessors under the Geothermal Steam Act of 1970 and related regulations. As of December 31, 2025, we controlled approximately 595,900 acres across several principal project areas in high potential geothermal regions located in Nevada, California, Utah, Idaho, Colorado, and New Mexico. These leases consist of approximately 66% federal (BLM) acreage, approximately 6% state acreage, and approximately 27% private acreage. The federal leases carry a primary term of 10 years, with annual rentals and royalty terms set by regulation and extensions in five-year increments as provided under applicable regulations. Such federal leases are held by production when commercial production is established on the leasehold interests. The state leases generally carry terms that range from 10–50 years with production based extensions. The private leases commonly provide 5–10 year primary terms with extension or renewal options, and continuation while operations or production are maintained.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For federal BLM leases, annual rental rates are set by lease type under 43 CFR §3211. Federal leases also require bonds for operations and reclamation and impose diligent exploration and development milestones and requirements, including documentation and reporting of production, sales, and byproducts to the Office of Natural Resources Revenue and BLM. We maintain bonding and compliance consistent with these requirements across the federal portfolio. Our state leasehold position includes state leases with primary terms and production based extensions established under state leasing regimes. State terms generally align with production based holdover and bonding requirements consistent with geothermal development. Lastly, our private geothermal leases supplement federal and state acreage and include negotiated economic terms tailored to project development. Private lease royalty rates across our portfolio generally fall within the low single to low double digit percentage range, depending on resource disposition and market. All lease types require appropriate bonding and compliance with environmental and cultural resource stipulations.</w:t>
      </w:r>
    </w:p>
    <w:p>
      <w:pPr>
        <w:spacing w:after="0" w:line="108"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Lease economics include upfront bonus bids at competitive sales (which vary by tract and market conditions and have recently ranged from low single-digit to several hundred dollars per acre), annual rentals until production that follow the applicable regulatory schedule ($1–$5/acre depending on year and type), and royalties of 1.75% of gross proceeds for the first 10 years rising to 3.5% thereafter on electricity sales from Class II/III leases (or 10% for arm’s length resource sales under Class I). Private royalties generally fall in the low single-digit percentage to low double-digit percentage of revenue. Total capitalized leasehold costs (as reported in our financial statements) as of December 31, 2025 consist primarily of bonus bids, rentals, private lease consideration, and associated acquisition and title costs and represent a key asset for scaling our next generation geothermal projects.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Competitive Conditions and Environment</w:t>
      </w:r>
    </w:p>
    <w:p>
      <w:pPr>
        <w:spacing w:after="0" w:line="144"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enhanced geothermal power generation industry is experiencing a transformative phase as global demand for reliable energy solutions increases. Enhanced geothermal systems offer the potential to provide consistent, carbon-free baseload power by harnessing the Earth’s natural heat. This has attracted a mix of established energy</w:t>
      </w:r>
    </w:p>
    <w:p>
      <w:pPr>
        <w:sectPr>
          <w:pgSz w:w="11900" w:h="16846" w:orient="portrait"/>
          <w:cols w:equalWidth="0" w:num="1">
            <w:col w:w="9019"/>
          </w:cols>
          <w:pgMar w:left="1440" w:top="801" w:right="1440" w:bottom="0" w:gutter="0" w:footer="0" w:header="0"/>
        </w:sectPr>
      </w:pPr>
    </w:p>
    <w:bookmarkStart w:id="95" w:name="page96"/>
    <w:bookmarkEnd w:id="95"/>
    <w:p>
      <w:pPr>
        <w:ind w:left="1160" w:right="1239"/>
        <w:spacing w:after="0" w:line="225" w:lineRule="auto"/>
        <w:rPr>
          <w:sz w:val="20"/>
          <w:szCs w:val="20"/>
          <w:color w:val="auto"/>
        </w:rPr>
      </w:pPr>
      <w:r>
        <w:rPr>
          <w:rFonts w:ascii="Times New Roman" w:cs="Times New Roman" w:eastAsia="Times New Roman" w:hAnsi="Times New Roman"/>
          <w:sz w:val="14"/>
          <w:szCs w:val="14"/>
          <w:color w:val="auto"/>
        </w:rPr>
        <w:t>companies and innovative startups, creating a dynamic competitive environment. We also compete with several companies with conventional geothermal energy production operations, and when we seek to obtain a new PPA,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-161925</wp:posOffset>
            </wp:positionV>
            <wp:extent cx="716026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59"/>
        <w:spacing w:after="0" w:line="260" w:lineRule="auto"/>
        <w:rPr>
          <w:sz w:val="20"/>
          <w:szCs w:val="20"/>
          <w:color w:val="auto"/>
        </w:rPr>
      </w:pPr>
      <w:r>
        <w:rPr>
          <w:rFonts w:ascii="Times New Roman" w:cs="Times New Roman" w:eastAsia="Times New Roman" w:hAnsi="Times New Roman"/>
          <w:sz w:val="14"/>
          <w:szCs w:val="14"/>
          <w:color w:val="auto"/>
        </w:rPr>
        <w:t>face competition from these companies and other renewable energy sources. When seeking to obtain new PPAs, we also compete with wind, solar, hydro, and biomass on both headline energy price and total system cost, including deliverability during peak demand and stressed grid conditions. The ability to offer firm, around-the-clock renewable power, capacity value, and ancillary services can differentiate EGS offerings even where intermittent resources bid lower prices.</w:t>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Advanced Geothermal Developers</w:t>
      </w:r>
    </w:p>
    <w:p>
      <w:pPr>
        <w:spacing w:after="0" w:line="142"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A number of companies are pursuing new forms of geothermal power generation. Companies such as AltaRock Energy, GreenFire Energy, Eavor Technologies, Zanskar Geothermal and Minerals, and Mazama Energy are advancing geothermal technologies. These developers are exploring various approaches, including closed-loop systems, advanced drilling techniques, and supercritical geothermal fluids. Many have secured venture capital and government support, and are actively engaged in pilot projects to demonstrate the viability of their technologies.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Renewable Energy Sources</w:t>
      </w:r>
    </w:p>
    <w:p>
      <w:pPr>
        <w:spacing w:after="0" w:line="142"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EGS competes across multiple dimensions with wind, solar, biomass, and hydro. The core dynamic is price versus “system value,” but we also compete with renewable energy producers when we seek to obtain new PPAs or acquire new leasehold interests. While headline pricing may appear higher on a dollar-per-megawatt-hour basis, EGS delivers outsized “system value” through firm, dispatchable, and high-capacity-factor generation that reduces integration costs, avoids the need for separate capacity and firming resources, and enhances grid reliability. By providing ancillary services, long-duration availability, and locational benefits that mitigate congestion and curtailment, EGS can lower total delivered cost to the system, making it economically competitive even where its energy price alone is not the lowest.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Fervo Energy’s Differentiation</w:t>
      </w:r>
    </w:p>
    <w:p>
      <w:pPr>
        <w:spacing w:after="0" w:line="142"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Fervo Energy stands out with its innovative application of advanced drilling techniques and real-time data analytics, adapted from the oil and gas industry. By utilizing horizontal drilling and fiber-optic monitoring, Fervo enhances the efficiency and scalability of geothermal projects, allowing for precise resource management and reduced environmental impact. This approach enables the development of geothermal resources in a broader range of geological settings, beyond traditional hydrothermal sites.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Conventional Geothermal and Utilities</w:t>
      </w:r>
    </w:p>
    <w:p>
      <w:pPr>
        <w:spacing w:after="0" w:line="142"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Established geothermal companies like Berkshire Hathaway Energy, Calpine (The Geysers), and Ormat Technologies continue to comprise the substantial majority of the current geothermal market with conventional hydrothermal projects. These companies benefit from decades of operational experience and established customer relationships. Their reliance on specific geological conditions limits their ability to expand rapidly into new areas. However, should they or other better capitalized competitors expand their offerings into EGS technology, they may be able to outcompete us for the leasing of geothermal properties or signing PPAs with high credit-quality offtakers or development of EGS projects. According to Rystad, as of December 31, 2025, there was only approximately 4 gigawatts of installed geothermal capacity in the U.S., with limited plans for new projects, with only one project currently under construction with capacity greater than 25 megawatts.</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Research Organizations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National laboratories and research institutions, such as the National Lab of the Rockies and Lawrence Berkeley National Laboratory, play a crucial role in advancing geothermal science. Their research focuses on resource characterization, drilling technology, and reservoir management. Fervo Energy maintains collaborative relationships with these institutions to validate its technologies and improve project outcomes.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Fervo Energy’s Competitive Edge:</w:t>
      </w:r>
    </w:p>
    <w:p>
      <w:pPr>
        <w:spacing w:after="0" w:line="140" w:lineRule="exact"/>
        <w:rPr>
          <w:sz w:val="20"/>
          <w:szCs w:val="20"/>
          <w:color w:val="auto"/>
        </w:rPr>
      </w:pPr>
    </w:p>
    <w:p>
      <w:pPr>
        <w:ind w:left="1660" w:right="1179" w:hanging="249"/>
        <w:spacing w:after="0" w:line="277" w:lineRule="auto"/>
        <w:tabs>
          <w:tab w:leader="none" w:pos="1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Innovative Drilling and Monitoring</w:t>
      </w:r>
      <w:r>
        <w:rPr>
          <w:rFonts w:ascii="Times New Roman" w:cs="Times New Roman" w:eastAsia="Times New Roman" w:hAnsi="Times New Roman"/>
          <w:sz w:val="14"/>
          <w:szCs w:val="14"/>
          <w:color w:val="auto"/>
        </w:rPr>
        <w:t>: Fervo Energy leverages horizontal drilling and fiber-optic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optimize geothermal resource extraction, enhancing efficiency and reducing costs compared to traditional methods.</w:t>
      </w:r>
    </w:p>
    <w:p>
      <w:pPr>
        <w:spacing w:after="0" w:line="86" w:lineRule="exact"/>
        <w:rPr>
          <w:rFonts w:ascii="Times New Roman" w:cs="Times New Roman" w:eastAsia="Times New Roman" w:hAnsi="Times New Roman"/>
          <w:sz w:val="14"/>
          <w:szCs w:val="14"/>
          <w:color w:val="auto"/>
        </w:rPr>
      </w:pPr>
    </w:p>
    <w:p>
      <w:pPr>
        <w:ind w:left="1660" w:right="1199" w:hanging="249"/>
        <w:spacing w:after="0" w:line="277" w:lineRule="auto"/>
        <w:tabs>
          <w:tab w:leader="none" w:pos="1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Scalability and Flexibility </w:t>
      </w:r>
      <w:r>
        <w:rPr>
          <w:rFonts w:ascii="Times New Roman" w:cs="Times New Roman" w:eastAsia="Times New Roman" w:hAnsi="Times New Roman"/>
          <w:sz w:val="14"/>
          <w:szCs w:val="14"/>
          <w:color w:val="auto"/>
        </w:rPr>
        <w:t>: Fervo’s technology supports modular project development, enabling rapid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scaling and adaptation to various geological conditions, making it competitive with other renewable energy sources.</w:t>
      </w:r>
    </w:p>
    <w:p>
      <w:pPr>
        <w:spacing w:after="0" w:line="86" w:lineRule="exact"/>
        <w:rPr>
          <w:rFonts w:ascii="Times New Roman" w:cs="Times New Roman" w:eastAsia="Times New Roman" w:hAnsi="Times New Roman"/>
          <w:sz w:val="14"/>
          <w:szCs w:val="14"/>
          <w:color w:val="auto"/>
        </w:rPr>
      </w:pPr>
    </w:p>
    <w:p>
      <w:pPr>
        <w:ind w:left="1660" w:right="1319" w:hanging="249"/>
        <w:spacing w:after="0" w:line="298" w:lineRule="auto"/>
        <w:tabs>
          <w:tab w:leader="none" w:pos="1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Environmental Stewardship</w:t>
      </w:r>
      <w:r>
        <w:rPr>
          <w:rFonts w:ascii="Times New Roman" w:cs="Times New Roman" w:eastAsia="Times New Roman" w:hAnsi="Times New Roman"/>
          <w:sz w:val="14"/>
          <w:szCs w:val="14"/>
          <w:color w:val="auto"/>
        </w:rPr>
        <w:t>: The use of closed-loop systems minimizes water usage and surface impact,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addressing environmental concerns and facilitating regulatory approval.</w:t>
      </w:r>
    </w:p>
    <w:p>
      <w:pPr>
        <w:spacing w:after="0" w:line="72" w:lineRule="exact"/>
        <w:rPr>
          <w:rFonts w:ascii="Times New Roman" w:cs="Times New Roman" w:eastAsia="Times New Roman" w:hAnsi="Times New Roman"/>
          <w:sz w:val="14"/>
          <w:szCs w:val="14"/>
          <w:color w:val="auto"/>
        </w:rPr>
      </w:pPr>
    </w:p>
    <w:p>
      <w:pPr>
        <w:ind w:left="1660" w:right="1179" w:hanging="249"/>
        <w:spacing w:after="0" w:line="298" w:lineRule="auto"/>
        <w:tabs>
          <w:tab w:leader="none" w:pos="1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Strategic Partnerships</w:t>
      </w:r>
      <w:r>
        <w:rPr>
          <w:rFonts w:ascii="Times New Roman" w:cs="Times New Roman" w:eastAsia="Times New Roman" w:hAnsi="Times New Roman"/>
          <w:sz w:val="14"/>
          <w:szCs w:val="14"/>
          <w:color w:val="auto"/>
        </w:rPr>
        <w:t>: Collaborations with technology providers and research institutions enhance Fervo’s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capabilities and accelerate technology deployment.</w:t>
      </w:r>
    </w:p>
    <w:p>
      <w:pPr>
        <w:sectPr>
          <w:pgSz w:w="11900" w:h="16838" w:orient="portrait"/>
          <w:cols w:equalWidth="0" w:num="1">
            <w:col w:w="9019"/>
          </w:cols>
          <w:pgMar w:left="1440" w:top="94" w:right="1440" w:bottom="0" w:gutter="0" w:footer="0" w:header="0"/>
        </w:sectPr>
      </w:pP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3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Intellectual Property and First-Mover Advantage </w:t>
      </w:r>
      <w:r>
        <w:rPr>
          <w:rFonts w:ascii="Times New Roman" w:cs="Times New Roman" w:eastAsia="Times New Roman" w:hAnsi="Times New Roman"/>
          <w:sz w:val="14"/>
          <w:szCs w:val="14"/>
          <w:color w:val="auto"/>
        </w:rPr>
        <w:t>: Fervo Energy’s proprietary technologies and early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entry position it as a leader in the enhanced geothermal sector, creating barriers to entry for potential competitors.</w:t>
      </w:r>
    </w:p>
    <w:p>
      <w:pPr>
        <w:spacing w:after="0" w:line="91" w:lineRule="exact"/>
        <w:rPr>
          <w:sz w:val="20"/>
          <w:szCs w:val="20"/>
          <w:color w:val="auto"/>
        </w:rPr>
      </w:pPr>
    </w:p>
    <w:p>
      <w:pPr>
        <w:sectPr>
          <w:pgSz w:w="11900" w:h="16838" w:orient="portrait"/>
          <w:cols w:equalWidth="0" w:num="2">
            <w:col w:w="1460" w:space="200"/>
            <w:col w:w="7359"/>
          </w:cols>
          <w:pgMar w:left="1440" w:top="94" w:right="1440" w:bottom="0" w:gutter="0" w:footer="0" w:header="0"/>
          <w:type w:val="continuous"/>
        </w:sect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Fervo Energy’s unique technological approach and strategic partnerships position it favorably in the growing enhanced geothermal power generation market and the clean energy industry more generally.</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Google Geothermal Framework Agreement</w:t>
      </w:r>
    </w:p>
    <w:p>
      <w:pPr>
        <w:spacing w:after="0" w:line="144"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On March 19, 2026, we entered into the GFA with Google Energy LLC that establishes a structured process for the development of geothermal projects across specified regions of the United States. The GFA contemplates up to three gigawatts of contracted geothermal capacity through December 31, 2033, and establishes a development process whereby we will submit projects to Google for evaluation. In the event we are unable to submit such proposals, we may be obligated to pay Google liquidated damages. If either party withdraws from a project at certain</w:t>
      </w:r>
    </w:p>
    <w:p>
      <w:pPr>
        <w:sectPr>
          <w:pgSz w:w="11900" w:h="16838" w:orient="portrait"/>
          <w:cols w:equalWidth="0" w:num="1">
            <w:col w:w="9019"/>
          </w:cols>
          <w:pgMar w:left="1440" w:top="94" w:right="1440" w:bottom="0" w:gutter="0" w:footer="0" w:header="0"/>
          <w:type w:val="continuous"/>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stages, the withdrawing party may be required to pay the other party a termination fee, and Google holds certain rights of first refusal over portions of our project pipeline, including follow-on and withdrawn projects. Google holds several rights of first refusal over portions of project pipeline under the GFA. The GFA also restricts our ability to accept investment from entities defined as “Competitors” under the GFA and requires us to implement certain protective measures for Google’s benefit if an entity identified as a competitor acquires any interest in us or our project subsidiaries. The GFA does not constitute a power purchase agreement, and Google retains discretion over whether to proceed with any individual project. For more information, see “Risk Factors—The GFA, and other non-binding agreements we may enter into in the future, do not obligate any party to purchase any power from us and may not result in definitive offtake agreements, commercial projects, or revenue.”</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As of December 31, 2025, we had six granted U.S. patents and over 35 pending patent applications, including nine U.S. non-provisional applications, seven U.S. provisional patent applications, 11 pending PCT applications and five pending patent applications with the European Patent Office. The six granted U.S. patents are projected to expire between 2039 and 2044, before accounting for potentially available patent term adjustments or patent term extension, as appropriate, and assuming timely payment of appropriate maintenance, renewal, annuity and other governmental fees. We believe our portfolio of intellectual property presents significant barriers against any other potential competitor seeking to replicate our fast, low-cost approach to deployment of enhanced geothermal power generation.</w:t>
      </w:r>
    </w:p>
    <w:p>
      <w:pPr>
        <w:spacing w:after="0" w:line="278"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intend to protect our intellectual property rights via a combination of patent, trademark, and trade secret laws in the United States and other jurisdictions, as well as with contractual protections, to establish, maintain and enforce rights in our proprietary technologies. Unpatented research, development, know-how, and engineering skills make an important contribution to our business. We pursue patent protection only when it is consistent with our overall strategy for safeguarding intellectual property.</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In addition, we seek to protect our intellectual property rights through non-disclosure and invention assignment agreements with our employees and consultants and through non-disclosure agreements with business partners and other third parties. Our U.S. patents and patent applications and foreign patent applications generally relate to Enhanced Geothermal Systems and related drilling, well construction, reservoir stimulation, and subsurface heat extraction technologies. We own six U.S. patents, which are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Fervo Energy</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11927369</w:t>
            </w: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Utility</w:t>
            </w:r>
          </w:p>
        </w:tc>
        <w:tc>
          <w:tcPr>
            <w:tcW w:w="1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A method and system that</w:t>
            </w:r>
          </w:p>
        </w:tc>
      </w:tr>
      <w:tr>
        <w:trPr>
          <w:trHeight w:val="140"/>
        </w:trPr>
        <w:tc>
          <w:tcPr>
            <w:tcW w:w="1040" w:type="dxa"/>
            <w:vAlign w:val="bottom"/>
          </w:tcPr>
          <w:p>
            <w:pPr>
              <w:spacing w:after="0"/>
              <w:rPr>
                <w:sz w:val="12"/>
                <w:szCs w:val="12"/>
                <w:color w:val="auto"/>
              </w:rPr>
            </w:pP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0" w:lineRule="exact"/>
              <w:rPr>
                <w:sz w:val="20"/>
                <w:szCs w:val="20"/>
                <w:color w:val="auto"/>
              </w:rPr>
            </w:pPr>
            <w:r>
              <w:rPr>
                <w:rFonts w:ascii="Times New Roman" w:cs="Times New Roman" w:eastAsia="Times New Roman" w:hAnsi="Times New Roman"/>
                <w:sz w:val="14"/>
                <w:szCs w:val="14"/>
                <w:color w:val="auto"/>
              </w:rPr>
              <w:t>may be used for storing</w:t>
            </w:r>
          </w:p>
        </w:tc>
      </w:tr>
      <w:tr>
        <w:trPr>
          <w:trHeight w:val="146"/>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7" w:lineRule="exact"/>
              <w:rPr>
                <w:sz w:val="20"/>
                <w:szCs w:val="20"/>
                <w:color w:val="auto"/>
              </w:rPr>
            </w:pPr>
            <w:r>
              <w:rPr>
                <w:rFonts w:ascii="Times New Roman" w:cs="Times New Roman" w:eastAsia="Times New Roman" w:hAnsi="Times New Roman"/>
                <w:sz w:val="14"/>
                <w:szCs w:val="14"/>
                <w:color w:val="auto"/>
              </w:rPr>
              <w:t>energy in a geothermal</w:t>
            </w:r>
          </w:p>
        </w:tc>
      </w:tr>
      <w:tr>
        <w:trPr>
          <w:trHeight w:val="144"/>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28"/>
              <w:spacing w:after="0" w:line="144" w:lineRule="exact"/>
              <w:rPr>
                <w:sz w:val="20"/>
                <w:szCs w:val="20"/>
                <w:color w:val="auto"/>
              </w:rPr>
            </w:pPr>
            <w:r>
              <w:rPr>
                <w:rFonts w:ascii="Times New Roman" w:cs="Times New Roman" w:eastAsia="Times New Roman" w:hAnsi="Times New Roman"/>
                <w:sz w:val="14"/>
                <w:szCs w:val="14"/>
                <w:color w:val="auto"/>
              </w:rPr>
              <w:t>system and recovering both</w:t>
            </w:r>
          </w:p>
        </w:tc>
      </w:tr>
      <w:tr>
        <w:trPr>
          <w:trHeight w:val="140"/>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28"/>
              <w:spacing w:after="0" w:line="140" w:lineRule="exact"/>
              <w:rPr>
                <w:sz w:val="20"/>
                <w:szCs w:val="20"/>
                <w:color w:val="auto"/>
              </w:rPr>
            </w:pPr>
            <w:r>
              <w:rPr>
                <w:rFonts w:ascii="Times New Roman" w:cs="Times New Roman" w:eastAsia="Times New Roman" w:hAnsi="Times New Roman"/>
                <w:sz w:val="14"/>
                <w:szCs w:val="14"/>
                <w:color w:val="auto"/>
              </w:rPr>
              <w:t>the stored energy as well as</w:t>
            </w:r>
          </w:p>
        </w:tc>
      </w:tr>
      <w:tr>
        <w:trPr>
          <w:trHeight w:val="186"/>
        </w:trPr>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thermal energy on demand.</w:t>
            </w:r>
          </w:p>
        </w:tc>
      </w:tr>
      <w:tr>
        <w:trPr>
          <w:trHeight w:val="158"/>
        </w:trPr>
        <w:tc>
          <w:tcPr>
            <w:tcW w:w="10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Fervo Energy</w:t>
            </w:r>
          </w:p>
        </w:tc>
        <w:tc>
          <w:tcPr>
            <w:tcW w:w="120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color w:val="auto"/>
              </w:rPr>
              <w:t>11808121</w:t>
            </w:r>
          </w:p>
        </w:tc>
        <w:tc>
          <w:tcPr>
            <w:tcW w:w="940" w:type="dxa"/>
            <w:vAlign w:val="bottom"/>
          </w:tcPr>
          <w:p>
            <w:pPr>
              <w:ind w:left="340"/>
              <w:spacing w:after="0" w:line="158" w:lineRule="exact"/>
              <w:rPr>
                <w:sz w:val="20"/>
                <w:szCs w:val="20"/>
                <w:color w:val="auto"/>
              </w:rPr>
            </w:pPr>
            <w:r>
              <w:rPr>
                <w:rFonts w:ascii="Times New Roman" w:cs="Times New Roman" w:eastAsia="Times New Roman" w:hAnsi="Times New Roman"/>
                <w:sz w:val="14"/>
                <w:szCs w:val="14"/>
                <w:color w:val="auto"/>
              </w:rPr>
              <w:t>Utility</w:t>
            </w:r>
          </w:p>
        </w:tc>
        <w:tc>
          <w:tcPr>
            <w:tcW w:w="1860" w:type="dxa"/>
            <w:vAlign w:val="bottom"/>
          </w:tcPr>
          <w:p>
            <w:pPr>
              <w:jc w:val="center"/>
              <w:ind w:left="128"/>
              <w:spacing w:after="0" w:line="158" w:lineRule="exact"/>
              <w:rPr>
                <w:sz w:val="20"/>
                <w:szCs w:val="20"/>
                <w:color w:val="auto"/>
              </w:rPr>
            </w:pPr>
            <w:r>
              <w:rPr>
                <w:rFonts w:ascii="Times New Roman" w:cs="Times New Roman" w:eastAsia="Times New Roman" w:hAnsi="Times New Roman"/>
                <w:sz w:val="14"/>
                <w:szCs w:val="14"/>
                <w:color w:val="auto"/>
              </w:rPr>
              <w:t>Encourage even distribution</w:t>
            </w:r>
          </w:p>
        </w:tc>
      </w:tr>
      <w:tr>
        <w:trPr>
          <w:trHeight w:val="140"/>
        </w:trPr>
        <w:tc>
          <w:tcPr>
            <w:tcW w:w="1040" w:type="dxa"/>
            <w:vAlign w:val="bottom"/>
          </w:tcPr>
          <w:p>
            <w:pPr>
              <w:spacing w:after="0"/>
              <w:rPr>
                <w:sz w:val="12"/>
                <w:szCs w:val="12"/>
                <w:color w:val="auto"/>
              </w:rPr>
            </w:pP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0" w:lineRule="exact"/>
              <w:rPr>
                <w:sz w:val="20"/>
                <w:szCs w:val="20"/>
                <w:color w:val="auto"/>
              </w:rPr>
            </w:pPr>
            <w:r>
              <w:rPr>
                <w:rFonts w:ascii="Times New Roman" w:cs="Times New Roman" w:eastAsia="Times New Roman" w:hAnsi="Times New Roman"/>
                <w:sz w:val="14"/>
                <w:szCs w:val="14"/>
                <w:color w:val="auto"/>
              </w:rPr>
              <w:t>of fluid flow across multiple</w:t>
            </w:r>
          </w:p>
        </w:tc>
      </w:tr>
      <w:tr>
        <w:trPr>
          <w:trHeight w:val="146"/>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7" w:lineRule="exact"/>
              <w:rPr>
                <w:sz w:val="20"/>
                <w:szCs w:val="20"/>
                <w:color w:val="auto"/>
              </w:rPr>
            </w:pPr>
            <w:r>
              <w:rPr>
                <w:rFonts w:ascii="Times New Roman" w:cs="Times New Roman" w:eastAsia="Times New Roman" w:hAnsi="Times New Roman"/>
                <w:sz w:val="14"/>
                <w:szCs w:val="14"/>
                <w:color w:val="auto"/>
              </w:rPr>
              <w:t>fracture zones intersecting a</w:t>
            </w:r>
          </w:p>
        </w:tc>
      </w:tr>
      <w:tr>
        <w:trPr>
          <w:trHeight w:val="144"/>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4" w:lineRule="exact"/>
              <w:rPr>
                <w:sz w:val="20"/>
                <w:szCs w:val="20"/>
                <w:color w:val="auto"/>
              </w:rPr>
            </w:pPr>
            <w:r>
              <w:rPr>
                <w:rFonts w:ascii="Times New Roman" w:cs="Times New Roman" w:eastAsia="Times New Roman" w:hAnsi="Times New Roman"/>
                <w:sz w:val="14"/>
                <w:szCs w:val="14"/>
                <w:color w:val="auto"/>
              </w:rPr>
              <w:t>horizontal well by using the</w:t>
            </w:r>
          </w:p>
        </w:tc>
      </w:tr>
      <w:tr>
        <w:trPr>
          <w:trHeight w:val="140"/>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0" w:lineRule="exact"/>
              <w:rPr>
                <w:sz w:val="20"/>
                <w:szCs w:val="20"/>
                <w:color w:val="auto"/>
              </w:rPr>
            </w:pPr>
            <w:r>
              <w:rPr>
                <w:rFonts w:ascii="Times New Roman" w:cs="Times New Roman" w:eastAsia="Times New Roman" w:hAnsi="Times New Roman"/>
                <w:sz w:val="14"/>
                <w:szCs w:val="14"/>
                <w:color w:val="auto"/>
              </w:rPr>
              <w:t>Limited Entry Perforation</w:t>
            </w:r>
          </w:p>
        </w:tc>
      </w:tr>
      <w:tr>
        <w:trPr>
          <w:trHeight w:val="146"/>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28"/>
              <w:spacing w:after="0" w:line="147" w:lineRule="exact"/>
              <w:rPr>
                <w:sz w:val="20"/>
                <w:szCs w:val="20"/>
                <w:color w:val="auto"/>
              </w:rPr>
            </w:pPr>
            <w:r>
              <w:rPr>
                <w:rFonts w:ascii="Times New Roman" w:cs="Times New Roman" w:eastAsia="Times New Roman" w:hAnsi="Times New Roman"/>
                <w:sz w:val="14"/>
                <w:szCs w:val="14"/>
                <w:color w:val="auto"/>
              </w:rPr>
              <w:t>Pressure Drop effect both</w:t>
            </w:r>
          </w:p>
        </w:tc>
      </w:tr>
      <w:tr>
        <w:trPr>
          <w:trHeight w:val="144"/>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4" w:lineRule="exact"/>
              <w:rPr>
                <w:sz w:val="20"/>
                <w:szCs w:val="20"/>
                <w:color w:val="auto"/>
              </w:rPr>
            </w:pPr>
            <w:r>
              <w:rPr>
                <w:rFonts w:ascii="Times New Roman" w:cs="Times New Roman" w:eastAsia="Times New Roman" w:hAnsi="Times New Roman"/>
                <w:sz w:val="14"/>
                <w:szCs w:val="14"/>
                <w:color w:val="auto"/>
              </w:rPr>
              <w:t>during stimulation and long-</w:t>
            </w:r>
          </w:p>
        </w:tc>
      </w:tr>
      <w:tr>
        <w:trPr>
          <w:trHeight w:val="186"/>
        </w:trPr>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term circulation.</w:t>
            </w:r>
          </w:p>
        </w:tc>
      </w:tr>
      <w:tr>
        <w:trPr>
          <w:trHeight w:val="147"/>
        </w:trPr>
        <w:tc>
          <w:tcPr>
            <w:tcW w:w="10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Fervo Energy</w:t>
            </w:r>
          </w:p>
        </w:tc>
        <w:tc>
          <w:tcPr>
            <w:tcW w:w="1200" w:type="dxa"/>
            <w:vAlign w:val="bottom"/>
          </w:tcPr>
          <w:p>
            <w:pPr>
              <w:jc w:val="right"/>
              <w:ind w:right="268"/>
              <w:spacing w:after="0" w:line="147" w:lineRule="exact"/>
              <w:rPr>
                <w:sz w:val="20"/>
                <w:szCs w:val="20"/>
                <w:color w:val="auto"/>
              </w:rPr>
            </w:pPr>
            <w:r>
              <w:rPr>
                <w:rFonts w:ascii="Times New Roman" w:cs="Times New Roman" w:eastAsia="Times New Roman" w:hAnsi="Times New Roman"/>
                <w:sz w:val="14"/>
                <w:szCs w:val="14"/>
                <w:color w:val="auto"/>
              </w:rPr>
              <w:t>12281550</w:t>
            </w:r>
          </w:p>
        </w:tc>
        <w:tc>
          <w:tcPr>
            <w:tcW w:w="940" w:type="dxa"/>
            <w:vAlign w:val="bottom"/>
          </w:tcPr>
          <w:p>
            <w:pPr>
              <w:ind w:left="340"/>
              <w:spacing w:after="0" w:line="147" w:lineRule="exact"/>
              <w:rPr>
                <w:sz w:val="20"/>
                <w:szCs w:val="20"/>
                <w:color w:val="auto"/>
              </w:rPr>
            </w:pPr>
            <w:r>
              <w:rPr>
                <w:rFonts w:ascii="Times New Roman" w:cs="Times New Roman" w:eastAsia="Times New Roman" w:hAnsi="Times New Roman"/>
                <w:sz w:val="14"/>
                <w:szCs w:val="14"/>
                <w:color w:val="auto"/>
              </w:rPr>
              <w:t>Utility</w:t>
            </w:r>
          </w:p>
        </w:tc>
        <w:tc>
          <w:tcPr>
            <w:tcW w:w="1860" w:type="dxa"/>
            <w:vAlign w:val="bottom"/>
          </w:tcPr>
          <w:p>
            <w:pPr>
              <w:jc w:val="center"/>
              <w:ind w:left="128"/>
              <w:spacing w:after="0" w:line="147" w:lineRule="exact"/>
              <w:rPr>
                <w:sz w:val="20"/>
                <w:szCs w:val="20"/>
                <w:color w:val="auto"/>
              </w:rPr>
            </w:pPr>
            <w:r>
              <w:rPr>
                <w:rFonts w:ascii="Times New Roman" w:cs="Times New Roman" w:eastAsia="Times New Roman" w:hAnsi="Times New Roman"/>
                <w:sz w:val="14"/>
                <w:szCs w:val="14"/>
                <w:color w:val="auto"/>
              </w:rPr>
              <w:t>Encourage even distribution</w:t>
            </w:r>
          </w:p>
        </w:tc>
      </w:tr>
      <w:tr>
        <w:trPr>
          <w:trHeight w:val="140"/>
        </w:trPr>
        <w:tc>
          <w:tcPr>
            <w:tcW w:w="1040" w:type="dxa"/>
            <w:vAlign w:val="bottom"/>
          </w:tcPr>
          <w:p>
            <w:pPr>
              <w:spacing w:after="0"/>
              <w:rPr>
                <w:sz w:val="12"/>
                <w:szCs w:val="12"/>
                <w:color w:val="auto"/>
              </w:rPr>
            </w:pP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left="148"/>
              <w:spacing w:after="0" w:line="140" w:lineRule="exact"/>
              <w:rPr>
                <w:sz w:val="20"/>
                <w:szCs w:val="20"/>
                <w:color w:val="auto"/>
              </w:rPr>
            </w:pPr>
            <w:r>
              <w:rPr>
                <w:rFonts w:ascii="Times New Roman" w:cs="Times New Roman" w:eastAsia="Times New Roman" w:hAnsi="Times New Roman"/>
                <w:sz w:val="14"/>
                <w:szCs w:val="14"/>
                <w:color w:val="auto"/>
              </w:rPr>
              <w:t>of fluid flow across multiple</w:t>
            </w:r>
          </w:p>
        </w:tc>
      </w:tr>
      <w:tr>
        <w:trPr>
          <w:trHeight w:val="162"/>
        </w:trPr>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fracture zones intersecting a</w:t>
            </w:r>
          </w:p>
        </w:tc>
      </w:tr>
    </w:tbl>
    <w:p>
      <w:pPr>
        <w:jc w:val="center"/>
        <w:ind w:left="4980"/>
        <w:spacing w:after="0" w:line="208" w:lineRule="auto"/>
        <w:rPr>
          <w:sz w:val="20"/>
          <w:szCs w:val="20"/>
          <w:color w:val="auto"/>
        </w:rPr>
      </w:pPr>
      <w:r>
        <w:rPr>
          <w:rFonts w:ascii="Times New Roman" w:cs="Times New Roman" w:eastAsia="Times New Roman" w:hAnsi="Times New Roman"/>
          <w:sz w:val="14"/>
          <w:szCs w:val="14"/>
          <w:color w:val="auto"/>
        </w:rPr>
        <w:t>horizontal well by using the</w:t>
      </w:r>
    </w:p>
    <w:p>
      <w:pPr>
        <w:jc w:val="center"/>
        <w:ind w:left="4980"/>
        <w:spacing w:after="0"/>
        <w:rPr>
          <w:sz w:val="20"/>
          <w:szCs w:val="20"/>
          <w:color w:val="auto"/>
        </w:rPr>
      </w:pPr>
      <w:r>
        <w:rPr>
          <w:rFonts w:ascii="Times New Roman" w:cs="Times New Roman" w:eastAsia="Times New Roman" w:hAnsi="Times New Roman"/>
          <w:sz w:val="14"/>
          <w:szCs w:val="14"/>
          <w:color w:val="auto"/>
        </w:rPr>
        <w:t>Limited Entry Perforation</w:t>
      </w:r>
    </w:p>
    <w:p>
      <w:pPr>
        <w:sectPr>
          <w:pgSz w:w="11900" w:h="16838" w:orient="portrait"/>
          <w:cols w:equalWidth="0" w:num="1">
            <w:col w:w="9019"/>
          </w:cols>
          <w:pgMar w:left="1440" w:top="200" w:right="1440" w:bottom="0" w:gutter="0" w:footer="0" w:header="0"/>
        </w:sectPr>
      </w:pPr>
    </w:p>
    <w:bookmarkStart w:id="97" w:name="page98"/>
    <w:bookmarkEnd w:id="97"/>
    <w:p>
      <w:pPr>
        <w:spacing w:after="0" w:line="9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Pressure Drop effect b th</w:t>
            </w:r>
          </w:p>
        </w:tc>
        <w:tc>
          <w:tcPr>
            <w:tcW w:w="0" w:type="dxa"/>
            <w:vAlign w:val="bottom"/>
          </w:tcPr>
          <w:p>
            <w:pPr>
              <w:spacing w:after="0"/>
              <w:rPr>
                <w:sz w:val="1"/>
                <w:szCs w:val="1"/>
                <w:color w:val="auto"/>
              </w:rPr>
            </w:pPr>
          </w:p>
        </w:tc>
      </w:tr>
      <w:tr>
        <w:trPr>
          <w:trHeight w:val="16"/>
        </w:trPr>
        <w:tc>
          <w:tcPr>
            <w:tcW w:w="1340" w:type="dxa"/>
            <w:vAlign w:val="bottom"/>
            <w:gridSpan w:val="2"/>
            <w:vMerge w:val="restart"/>
          </w:tcPr>
          <w:p>
            <w:pPr>
              <w:jc w:val="center"/>
              <w:ind w:right="40"/>
              <w:spacing w:after="0" w:line="76" w:lineRule="exact"/>
              <w:rPr>
                <w:sz w:val="20"/>
                <w:szCs w:val="20"/>
                <w:color w:val="auto"/>
              </w:rPr>
            </w:pPr>
            <w:r>
              <w:rPr>
                <w:rFonts w:ascii="Times New Roman" w:cs="Times New Roman" w:eastAsia="Times New Roman" w:hAnsi="Times New Roman"/>
                <w:sz w:val="8"/>
                <w:szCs w:val="8"/>
                <w:b w:val="1"/>
                <w:bCs w:val="1"/>
                <w:i w:val="1"/>
                <w:iCs w:val="1"/>
                <w:color w:val="auto"/>
              </w:rPr>
              <w:t>Country</w:t>
            </w:r>
          </w:p>
        </w:tc>
        <w:tc>
          <w:tcPr>
            <w:tcW w:w="1340" w:type="dxa"/>
            <w:vAlign w:val="bottom"/>
            <w:gridSpan w:val="2"/>
            <w:vMerge w:val="restart"/>
          </w:tcPr>
          <w:p>
            <w:pPr>
              <w:jc w:val="center"/>
              <w:ind w:right="60"/>
              <w:spacing w:after="0" w:line="76" w:lineRule="exact"/>
              <w:rPr>
                <w:sz w:val="20"/>
                <w:szCs w:val="20"/>
                <w:color w:val="auto"/>
              </w:rPr>
            </w:pPr>
            <w:r>
              <w:rPr>
                <w:rFonts w:ascii="Times New Roman" w:cs="Times New Roman" w:eastAsia="Times New Roman" w:hAnsi="Times New Roman"/>
                <w:sz w:val="8"/>
                <w:szCs w:val="8"/>
                <w:b w:val="1"/>
                <w:bCs w:val="1"/>
                <w:i w:val="1"/>
                <w:iCs w:val="1"/>
                <w:color w:val="auto"/>
              </w:rPr>
              <w:t>Ownership</w:t>
            </w:r>
          </w:p>
        </w:tc>
        <w:tc>
          <w:tcPr>
            <w:tcW w:w="1140" w:type="dxa"/>
            <w:vAlign w:val="bottom"/>
            <w:gridSpan w:val="2"/>
            <w:vMerge w:val="restart"/>
          </w:tcPr>
          <w:p>
            <w:pPr>
              <w:jc w:val="center"/>
              <w:ind w:right="20"/>
              <w:spacing w:after="0" w:line="76" w:lineRule="exact"/>
              <w:rPr>
                <w:sz w:val="20"/>
                <w:szCs w:val="20"/>
                <w:color w:val="auto"/>
              </w:rPr>
            </w:pPr>
            <w:r>
              <w:rPr>
                <w:rFonts w:ascii="Times New Roman" w:cs="Times New Roman" w:eastAsia="Times New Roman" w:hAnsi="Times New Roman"/>
                <w:sz w:val="8"/>
                <w:szCs w:val="8"/>
                <w:b w:val="1"/>
                <w:bCs w:val="1"/>
                <w:i w:val="1"/>
                <w:iCs w:val="1"/>
                <w:color w:val="auto"/>
              </w:rPr>
              <w:t>Patent Number</w:t>
            </w:r>
          </w:p>
        </w:tc>
        <w:tc>
          <w:tcPr>
            <w:tcW w:w="1160" w:type="dxa"/>
            <w:vAlign w:val="bottom"/>
            <w:gridSpan w:val="2"/>
            <w:vMerge w:val="restart"/>
          </w:tcPr>
          <w:p>
            <w:pPr>
              <w:jc w:val="center"/>
              <w:ind w:right="40"/>
              <w:spacing w:after="0" w:line="76" w:lineRule="exact"/>
              <w:rPr>
                <w:sz w:val="20"/>
                <w:szCs w:val="20"/>
                <w:color w:val="auto"/>
              </w:rPr>
            </w:pPr>
            <w:r>
              <w:rPr>
                <w:rFonts w:ascii="Times New Roman" w:cs="Times New Roman" w:eastAsia="Times New Roman" w:hAnsi="Times New Roman"/>
                <w:sz w:val="8"/>
                <w:szCs w:val="8"/>
                <w:b w:val="1"/>
                <w:bCs w:val="1"/>
                <w:i w:val="1"/>
                <w:iCs w:val="1"/>
                <w:color w:val="auto"/>
              </w:rPr>
              <w:t>Type of Patent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during stimulation and long-</w:t>
            </w:r>
          </w:p>
        </w:tc>
        <w:tc>
          <w:tcPr>
            <w:tcW w:w="0" w:type="dxa"/>
            <w:vAlign w:val="bottom"/>
          </w:tcPr>
          <w:p>
            <w:pPr>
              <w:spacing w:after="0" w:line="20" w:lineRule="exact"/>
              <w:rPr>
                <w:sz w:val="1"/>
                <w:szCs w:val="1"/>
                <w:color w:val="auto"/>
              </w:rPr>
            </w:pPr>
          </w:p>
        </w:tc>
      </w:tr>
      <w:tr>
        <w:trPr>
          <w:trHeight w:val="59"/>
        </w:trPr>
        <w:tc>
          <w:tcPr>
            <w:tcW w:w="13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720" w:type="dxa"/>
            <w:vAlign w:val="bottom"/>
          </w:tcPr>
          <w:p>
            <w:pPr>
              <w:jc w:val="center"/>
              <w:spacing w:after="0" w:line="59" w:lineRule="exact"/>
              <w:rPr>
                <w:sz w:val="20"/>
                <w:szCs w:val="20"/>
                <w:color w:val="auto"/>
              </w:rPr>
            </w:pPr>
            <w:r>
              <w:rPr>
                <w:rFonts w:ascii="Times New Roman" w:cs="Times New Roman" w:eastAsia="Times New Roman" w:hAnsi="Times New Roman"/>
                <w:sz w:val="6"/>
                <w:szCs w:val="6"/>
                <w:b w:val="1"/>
                <w:bCs w:val="1"/>
                <w:i w:val="1"/>
                <w:iCs w:val="1"/>
                <w:color w:val="auto"/>
              </w:rPr>
              <w:t>Relevant Tech ology</w:t>
            </w:r>
          </w:p>
        </w:tc>
        <w:tc>
          <w:tcPr>
            <w:tcW w:w="0" w:type="dxa"/>
            <w:vAlign w:val="bottom"/>
          </w:tcPr>
          <w:p>
            <w:pPr>
              <w:spacing w:after="0"/>
              <w:rPr>
                <w:sz w:val="1"/>
                <w:szCs w:val="1"/>
                <w:color w:val="auto"/>
              </w:rPr>
            </w:pPr>
          </w:p>
        </w:tc>
      </w:tr>
      <w:tr>
        <w:trPr>
          <w:trHeight w:val="148"/>
        </w:trPr>
        <w:tc>
          <w:tcPr>
            <w:tcW w:w="1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term circulation.</w:t>
            </w:r>
          </w:p>
        </w:tc>
        <w:tc>
          <w:tcPr>
            <w:tcW w:w="0" w:type="dxa"/>
            <w:vAlign w:val="bottom"/>
          </w:tcPr>
          <w:p>
            <w:pPr>
              <w:spacing w:after="0"/>
              <w:rPr>
                <w:sz w:val="1"/>
                <w:szCs w:val="1"/>
                <w:color w:val="auto"/>
              </w:rPr>
            </w:pPr>
          </w:p>
        </w:tc>
      </w:tr>
      <w:tr>
        <w:trPr>
          <w:trHeight w:val="144"/>
        </w:trPr>
        <w:tc>
          <w:tcPr>
            <w:tcW w:w="134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color w:val="auto"/>
              </w:rPr>
              <w:t>Fervo Energy</w:t>
            </w: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12297724</w:t>
            </w:r>
          </w:p>
        </w:tc>
        <w:tc>
          <w:tcPr>
            <w:tcW w:w="40" w:type="dxa"/>
            <w:vAlign w:val="bottom"/>
          </w:tcPr>
          <w:p>
            <w:pPr>
              <w:spacing w:after="0"/>
              <w:rPr>
                <w:sz w:val="12"/>
                <w:szCs w:val="12"/>
                <w:color w:val="auto"/>
              </w:rPr>
            </w:pPr>
          </w:p>
        </w:tc>
        <w:tc>
          <w:tcPr>
            <w:tcW w:w="116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color w:val="auto"/>
                <w:w w:val="98"/>
              </w:rPr>
              <w:t>Utility</w:t>
            </w: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Manipulate near-wellbore</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properties of the wellbore or</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the formation using</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chemical or mechanical</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processes to improve and</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control fluid flow</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distribution along a</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horizontal well.</w:t>
            </w:r>
          </w:p>
        </w:tc>
        <w:tc>
          <w:tcPr>
            <w:tcW w:w="0" w:type="dxa"/>
            <w:vAlign w:val="bottom"/>
          </w:tcPr>
          <w:p>
            <w:pPr>
              <w:spacing w:after="0"/>
              <w:rPr>
                <w:sz w:val="1"/>
                <w:szCs w:val="1"/>
                <w:color w:val="auto"/>
              </w:rPr>
            </w:pPr>
          </w:p>
        </w:tc>
      </w:tr>
      <w:tr>
        <w:trPr>
          <w:trHeight w:val="147"/>
        </w:trPr>
        <w:tc>
          <w:tcPr>
            <w:tcW w:w="134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rPr>
              <w:t>Fervo Energy</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12378866</w:t>
            </w:r>
          </w:p>
        </w:tc>
        <w:tc>
          <w:tcPr>
            <w:tcW w:w="40" w:type="dxa"/>
            <w:vAlign w:val="bottom"/>
          </w:tcPr>
          <w:p>
            <w:pPr>
              <w:spacing w:after="0"/>
              <w:rPr>
                <w:sz w:val="12"/>
                <w:szCs w:val="12"/>
                <w:color w:val="auto"/>
              </w:rPr>
            </w:pPr>
          </w:p>
        </w:tc>
        <w:tc>
          <w:tcPr>
            <w:tcW w:w="11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Utility</w:t>
            </w:r>
          </w:p>
        </w:tc>
        <w:tc>
          <w:tcPr>
            <w:tcW w:w="1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 method and system that</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may be used for storing</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energy in a geothermal</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system and recovering both</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the stored energy as well as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thermal energy on demand.</w:t>
            </w:r>
          </w:p>
        </w:tc>
        <w:tc>
          <w:tcPr>
            <w:tcW w:w="0" w:type="dxa"/>
            <w:vAlign w:val="bottom"/>
          </w:tcPr>
          <w:p>
            <w:pPr>
              <w:spacing w:after="0"/>
              <w:rPr>
                <w:sz w:val="1"/>
                <w:szCs w:val="1"/>
                <w:color w:val="auto"/>
              </w:rPr>
            </w:pPr>
          </w:p>
        </w:tc>
      </w:tr>
      <w:tr>
        <w:trPr>
          <w:trHeight w:val="158"/>
        </w:trPr>
        <w:tc>
          <w:tcPr>
            <w:tcW w:w="1340" w:type="dxa"/>
            <w:vAlign w:val="bottom"/>
            <w:gridSpan w:val="2"/>
          </w:tcPr>
          <w:p>
            <w:pPr>
              <w:jc w:val="center"/>
              <w:ind w:right="20"/>
              <w:spacing w:after="0" w:line="158"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Fervo Energy</w:t>
            </w: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12535246</w:t>
            </w:r>
          </w:p>
        </w:tc>
        <w:tc>
          <w:tcPr>
            <w:tcW w:w="40" w:type="dxa"/>
            <w:vAlign w:val="bottom"/>
          </w:tcPr>
          <w:p>
            <w:pPr>
              <w:spacing w:after="0"/>
              <w:rPr>
                <w:sz w:val="13"/>
                <w:szCs w:val="13"/>
                <w:color w:val="auto"/>
              </w:rPr>
            </w:pPr>
          </w:p>
        </w:tc>
        <w:tc>
          <w:tcPr>
            <w:tcW w:w="116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w w:val="98"/>
              </w:rPr>
              <w:t>Utility</w:t>
            </w:r>
          </w:p>
        </w:tc>
        <w:tc>
          <w:tcPr>
            <w:tcW w:w="1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 method and system that</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4"/>
                <w:szCs w:val="14"/>
                <w:color w:val="auto"/>
              </w:rPr>
              <w:t>Company</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may be used for storing</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energy in a geothermal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-1834515</wp:posOffset>
            </wp:positionV>
            <wp:extent cx="716026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6200"/>
        <w:spacing w:after="0" w:line="208" w:lineRule="auto"/>
        <w:rPr>
          <w:sz w:val="20"/>
          <w:szCs w:val="20"/>
          <w:color w:val="auto"/>
        </w:rPr>
      </w:pPr>
      <w:r>
        <w:rPr>
          <w:rFonts w:ascii="Times New Roman" w:cs="Times New Roman" w:eastAsia="Times New Roman" w:hAnsi="Times New Roman"/>
          <w:sz w:val="14"/>
          <w:szCs w:val="14"/>
          <w:color w:val="auto"/>
        </w:rPr>
        <w:t>system and recovering both</w:t>
      </w:r>
    </w:p>
    <w:p>
      <w:pPr>
        <w:ind w:left="6200"/>
        <w:spacing w:after="0" w:line="208" w:lineRule="auto"/>
        <w:rPr>
          <w:sz w:val="20"/>
          <w:szCs w:val="20"/>
          <w:color w:val="auto"/>
        </w:rPr>
      </w:pPr>
      <w:r>
        <w:rPr>
          <w:rFonts w:ascii="Times New Roman" w:cs="Times New Roman" w:eastAsia="Times New Roman" w:hAnsi="Times New Roman"/>
          <w:sz w:val="14"/>
          <w:szCs w:val="14"/>
          <w:color w:val="auto"/>
        </w:rPr>
        <w:t>the stored energy as well as</w:t>
      </w:r>
    </w:p>
    <w:p>
      <w:pPr>
        <w:ind w:left="6220"/>
        <w:spacing w:after="0"/>
        <w:rPr>
          <w:sz w:val="20"/>
          <w:szCs w:val="20"/>
          <w:color w:val="auto"/>
        </w:rPr>
      </w:pPr>
      <w:r>
        <w:rPr>
          <w:rFonts w:ascii="Times New Roman" w:cs="Times New Roman" w:eastAsia="Times New Roman" w:hAnsi="Times New Roman"/>
          <w:sz w:val="14"/>
          <w:szCs w:val="14"/>
          <w:color w:val="auto"/>
        </w:rPr>
        <w:t>thermal energy on demand.</w:t>
      </w:r>
    </w:p>
    <w:p>
      <w:pPr>
        <w:spacing w:after="0" w:line="1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Fervo Energy operates within a complex regulatory landscape that governs geothermal energy production in the United States. This framework includes federal, state, and local regulations that oversee the exploration, development, and operation of geothermal resources. Compliance with these regulations is essential for the successful deployment and operation of Fervo Energy’s geothermal projects.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Federal Regulations</w:t>
      </w:r>
    </w:p>
    <w:p>
      <w:pPr>
        <w:spacing w:after="0" w:line="144"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At the federal level, geothermal energy production is primarily regulated by the Department of the Interior (“DOI”) through the Bureau of Land Management (“BLM”) and the U.S. Forest Service (“USFS”) for projects on public 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259" w:firstLine="258"/>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Geothermal Steam Act of 1970 (“GSA”) </w:t>
      </w:r>
      <w:r>
        <w:rPr>
          <w:rFonts w:ascii="Times New Roman" w:cs="Times New Roman" w:eastAsia="Times New Roman" w:hAnsi="Times New Roman"/>
          <w:sz w:val="14"/>
          <w:szCs w:val="14"/>
          <w:color w:val="auto"/>
        </w:rPr>
        <w:t>: GSA provides the legal framework for leasing public lands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geothermal development. The BLM oversees the leasing process, ensuring that geothermal projects comply with environmental and land use regulations.</w:t>
      </w:r>
    </w:p>
    <w:p>
      <w:pPr>
        <w:spacing w:after="0" w:line="89" w:lineRule="exact"/>
        <w:rPr>
          <w:sz w:val="20"/>
          <w:szCs w:val="20"/>
          <w:color w:val="auto"/>
        </w:rPr>
      </w:pPr>
    </w:p>
    <w:p>
      <w:pPr>
        <w:ind w:left="1660" w:right="1239" w:hanging="249"/>
        <w:spacing w:after="0" w:line="266" w:lineRule="auto"/>
        <w:tabs>
          <w:tab w:leader="none" w:pos="1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Leasing and Permitting</w:t>
      </w:r>
      <w:r>
        <w:rPr>
          <w:rFonts w:ascii="Times New Roman" w:cs="Times New Roman" w:eastAsia="Times New Roman" w:hAnsi="Times New Roman"/>
          <w:sz w:val="14"/>
          <w:szCs w:val="14"/>
          <w:color w:val="auto"/>
        </w:rPr>
        <w:t>: The Geothermal Steam Act provides the legal framework for leasing public lands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geothermal development. It authorizes the DOI, primarily through the BLM, to issue leases for geothermal resource exploration and development. The act imposes restrictions on where and how geothermal resources can be developed, requiring compliance with land use plans and environmental regulations.</w:t>
      </w:r>
    </w:p>
    <w:p>
      <w:pPr>
        <w:spacing w:after="0" w:line="95" w:lineRule="exact"/>
        <w:rPr>
          <w:rFonts w:ascii="Times New Roman" w:cs="Times New Roman" w:eastAsia="Times New Roman" w:hAnsi="Times New Roman"/>
          <w:sz w:val="14"/>
          <w:szCs w:val="14"/>
          <w:color w:val="auto"/>
        </w:rPr>
      </w:pPr>
    </w:p>
    <w:p>
      <w:pPr>
        <w:ind w:left="1660" w:right="1379" w:hanging="249"/>
        <w:spacing w:after="0" w:line="275" w:lineRule="auto"/>
        <w:tabs>
          <w:tab w:leader="none" w:pos="1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Environmental Protection </w:t>
      </w:r>
      <w:r>
        <w:rPr>
          <w:rFonts w:ascii="Times New Roman" w:cs="Times New Roman" w:eastAsia="Times New Roman" w:hAnsi="Times New Roman"/>
          <w:sz w:val="14"/>
          <w:szCs w:val="14"/>
          <w:color w:val="auto"/>
        </w:rPr>
        <w:t>: The act mandates that leaseholders must adhere to stipulations designed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 certain important natural resources, wildlife habitats, and cultural sites. This includes conducting environmental assessments and implementing mitigation measures as necessary.</w:t>
      </w:r>
    </w:p>
    <w:p>
      <w:pPr>
        <w:spacing w:after="0" w:line="90" w:lineRule="exact"/>
        <w:rPr>
          <w:rFonts w:ascii="Times New Roman" w:cs="Times New Roman" w:eastAsia="Times New Roman" w:hAnsi="Times New Roman"/>
          <w:sz w:val="14"/>
          <w:szCs w:val="14"/>
          <w:color w:val="auto"/>
        </w:rPr>
      </w:pPr>
    </w:p>
    <w:p>
      <w:pPr>
        <w:ind w:left="1660" w:right="1419" w:hanging="249"/>
        <w:spacing w:after="0" w:line="269" w:lineRule="auto"/>
        <w:tabs>
          <w:tab w:leader="none" w:pos="1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Royalty Payments and Revenue Sharing </w:t>
      </w:r>
      <w:r>
        <w:rPr>
          <w:rFonts w:ascii="Times New Roman" w:cs="Times New Roman" w:eastAsia="Times New Roman" w:hAnsi="Times New Roman"/>
          <w:sz w:val="14"/>
          <w:szCs w:val="14"/>
          <w:color w:val="auto"/>
        </w:rPr>
        <w:t>: Leaseholders are required to pay royalties on the geothermal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resources they extract. The act outlines the distribution of these royalties, with a portion allocated to the federal government and the remainder shared with state and local governments to support community development and infrastructure.</w:t>
      </w:r>
    </w:p>
    <w:p>
      <w:pPr>
        <w:spacing w:after="0" w:line="9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National Environmental Policy Act (“NEPA”) </w:t>
      </w:r>
      <w:r>
        <w:rPr>
          <w:rFonts w:ascii="Times New Roman" w:cs="Times New Roman" w:eastAsia="Times New Roman" w:hAnsi="Times New Roman"/>
          <w:sz w:val="14"/>
          <w:szCs w:val="14"/>
          <w:color w:val="auto"/>
        </w:rPr>
        <w:t>: Geothermal projects may be subject to federal, state, or local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environmental reviews, including under the federal NEPA, or state analogues. NEPA requires federal agencies to assess the environmental impacts of their actions, such as a federal agency approving geothermal projects on federal lands. This process may involve preparing an Environmental Assessment (“EA”) or an Environmental Impact Statement (“EIS”) to evaluate potential environmental effects and identify mitigation measures. On February 25, 2025, the Council on Environmental Quality (“CEQ”) promulgated an interim final rule that rescinded all CEQ regulations implementing NEPA, and many federal agencies have updated or begun the process of preparing their own new or updated NEPA-implementing rules, guidelines and procedures. The impact of changes to NEPA regulations and procedures remains uncertain and could have an effect on the ability of geothermal projects to obtain governmental permits. Geothermal energy projects may be subject to similar environmental review requirements at the state and local level in jurisdictions with NEPA equivalents, such as the California Environmental Quality Act in California.</w:t>
      </w:r>
    </w:p>
    <w:p>
      <w:pPr>
        <w:spacing w:after="0" w:line="274" w:lineRule="exact"/>
        <w:rPr>
          <w:sz w:val="20"/>
          <w:szCs w:val="20"/>
          <w:color w:val="auto"/>
        </w:rPr>
      </w:pPr>
    </w:p>
    <w:p>
      <w:pPr>
        <w:ind w:left="1660" w:right="1359" w:hanging="249"/>
        <w:spacing w:after="0" w:line="275" w:lineRule="auto"/>
        <w:tabs>
          <w:tab w:leader="none" w:pos="16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EA and EIS </w:t>
      </w:r>
      <w:r>
        <w:rPr>
          <w:rFonts w:ascii="Times New Roman" w:cs="Times New Roman" w:eastAsia="Times New Roman" w:hAnsi="Times New Roman"/>
          <w:sz w:val="14"/>
          <w:szCs w:val="14"/>
          <w:color w:val="auto"/>
        </w:rPr>
        <w:t>: An EA is conducted to determine whether a project will have significant environmental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effects. If significant impacts are anticipated, a more comprehensive EIS is required. This process can be time consuming and expensive, especially if it involves preparing an EIS.</w:t>
      </w:r>
    </w:p>
    <w:p>
      <w:pPr>
        <w:spacing w:after="0" w:line="90" w:lineRule="exact"/>
        <w:rPr>
          <w:rFonts w:ascii="Times New Roman" w:cs="Times New Roman" w:eastAsia="Times New Roman" w:hAnsi="Times New Roman"/>
          <w:sz w:val="14"/>
          <w:szCs w:val="14"/>
          <w:color w:val="auto"/>
        </w:rPr>
      </w:pPr>
    </w:p>
    <w:p>
      <w:pPr>
        <w:ind w:left="1660" w:right="1219" w:hanging="249"/>
        <w:spacing w:after="0" w:line="262" w:lineRule="auto"/>
        <w:tabs>
          <w:tab w:leader="none" w:pos="16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Public Involvement and Transparency </w:t>
      </w:r>
      <w:r>
        <w:rPr>
          <w:rFonts w:ascii="Times New Roman" w:cs="Times New Roman" w:eastAsia="Times New Roman" w:hAnsi="Times New Roman"/>
          <w:sz w:val="14"/>
          <w:szCs w:val="14"/>
          <w:color w:val="auto"/>
        </w:rPr>
        <w:t>: NEPA emphasizes public involvement in the environmental review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 Agencies frequently provide opportunities for public comment and participation, ensuring transparency and accountability. This can lead to project delays if significant public opposition or environmental concerns are raised, and can alter the nature of a proposed project either by limiting the scope of the project or by identifying impacts that an agency decides must be mitigated. Project opponents may challenge agency decision-making based on alleged deficiencies in the NEPA process, which may result in increased costs, permitting and development delays and potentially even permit vacatur.</w:t>
      </w:r>
    </w:p>
    <w:p>
      <w:pPr>
        <w:spacing w:after="0" w:line="101" w:lineRule="exact"/>
        <w:rPr>
          <w:rFonts w:ascii="Times New Roman" w:cs="Times New Roman" w:eastAsia="Times New Roman" w:hAnsi="Times New Roman"/>
          <w:sz w:val="14"/>
          <w:szCs w:val="14"/>
          <w:color w:val="auto"/>
        </w:rPr>
      </w:pPr>
    </w:p>
    <w:p>
      <w:pPr>
        <w:ind w:left="1660" w:right="1199" w:hanging="249"/>
        <w:spacing w:after="0" w:line="275" w:lineRule="auto"/>
        <w:tabs>
          <w:tab w:leader="none" w:pos="16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Mitigation and Alternatives </w:t>
      </w:r>
      <w:r>
        <w:rPr>
          <w:rFonts w:ascii="Times New Roman" w:cs="Times New Roman" w:eastAsia="Times New Roman" w:hAnsi="Times New Roman"/>
          <w:sz w:val="14"/>
          <w:szCs w:val="14"/>
          <w:color w:val="auto"/>
        </w:rPr>
        <w:t>: Under NEPA, agencies must identify and evaluate reasonable alternatives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proposed actions, and they must consider potential mitigation measures to minimize adverse environmental impacts. This can impose additional costs and operational constraints on geothermal projects.</w:t>
      </w:r>
    </w:p>
    <w:p>
      <w:pPr>
        <w:spacing w:after="0" w:line="89" w:lineRule="exact"/>
        <w:rPr>
          <w:sz w:val="20"/>
          <w:szCs w:val="20"/>
          <w:color w:val="auto"/>
        </w:rPr>
      </w:pPr>
    </w:p>
    <w:p>
      <w:pPr>
        <w:ind w:left="1160" w:right="1439" w:firstLine="258"/>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Federal Energy Regulatory Commission (“FERC”) </w:t>
      </w:r>
      <w:r>
        <w:rPr>
          <w:rFonts w:ascii="Times New Roman" w:cs="Times New Roman" w:eastAsia="Times New Roman" w:hAnsi="Times New Roman"/>
          <w:sz w:val="14"/>
          <w:szCs w:val="14"/>
          <w:color w:val="auto"/>
        </w:rPr>
        <w:t>: While FERC’s role in geothermal energy is limited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compared to other energy sectors, it may be involved in the regulation of power sales and interconnection</w:t>
      </w:r>
    </w:p>
    <w:p>
      <w:pPr>
        <w:sectPr>
          <w:pgSz w:w="11900" w:h="16937" w:orient="portrait"/>
          <w:cols w:equalWidth="0" w:num="1">
            <w:col w:w="9019"/>
          </w:cols>
          <w:pgMar w:left="1440" w:top="75" w:right="1440" w:bottom="0" w:gutter="0" w:footer="0" w:header="0"/>
        </w:sectPr>
      </w:pPr>
    </w:p>
    <w:bookmarkStart w:id="98" w:name="page99"/>
    <w:bookmarkEnd w:id="98"/>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agreements for geothermal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6026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8" w:lineRule="exact"/>
        <w:rPr>
          <w:sz w:val="20"/>
          <w:szCs w:val="20"/>
          <w:color w:val="auto"/>
        </w:rPr>
      </w:pPr>
    </w:p>
    <w:p>
      <w:pPr>
        <w:ind w:left="1660" w:right="1299" w:hanging="249"/>
        <w:spacing w:after="0" w:line="269" w:lineRule="auto"/>
        <w:tabs>
          <w:tab w:leader="none" w:pos="16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Interconnection and Transmission </w:t>
      </w:r>
      <w:r>
        <w:rPr>
          <w:rFonts w:ascii="Times New Roman" w:cs="Times New Roman" w:eastAsia="Times New Roman" w:hAnsi="Times New Roman"/>
          <w:sz w:val="14"/>
          <w:szCs w:val="14"/>
          <w:color w:val="auto"/>
        </w:rPr>
        <w:t>: While FERC’s role in geothermal energy is limited compared to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energy sectors, it oversees the interconnection of geothermal projects to the electric grid. This includes ensuring that interconnection agreements comply with federal standards and do not adversely affect grid reliability.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60" w:right="1199" w:hanging="249"/>
        <w:spacing w:after="0" w:line="275" w:lineRule="auto"/>
        <w:tabs>
          <w:tab w:leader="none" w:pos="16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Power Sales and Market Regulations </w:t>
      </w:r>
      <w:r>
        <w:rPr>
          <w:rFonts w:ascii="Times New Roman" w:cs="Times New Roman" w:eastAsia="Times New Roman" w:hAnsi="Times New Roman"/>
          <w:sz w:val="14"/>
          <w:szCs w:val="14"/>
          <w:color w:val="auto"/>
        </w:rPr>
        <w:t>: FERC regulates the sale of electricity generated by geothermal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projects in interstate commerce. This includes ensuring that power sales agreements are just and reasonable and do not result in undue discrimination or preference.</w:t>
      </w:r>
    </w:p>
    <w:p>
      <w:pPr>
        <w:spacing w:after="0" w:line="90" w:lineRule="exact"/>
        <w:rPr>
          <w:rFonts w:ascii="Times New Roman" w:cs="Times New Roman" w:eastAsia="Times New Roman" w:hAnsi="Times New Roman"/>
          <w:sz w:val="14"/>
          <w:szCs w:val="14"/>
          <w:color w:val="auto"/>
        </w:rPr>
      </w:pPr>
    </w:p>
    <w:p>
      <w:pPr>
        <w:ind w:left="1660" w:right="1199" w:hanging="249"/>
        <w:spacing w:after="0" w:line="275" w:lineRule="auto"/>
        <w:tabs>
          <w:tab w:leader="none" w:pos="16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Licensing and Compliance </w:t>
      </w:r>
      <w:r>
        <w:rPr>
          <w:rFonts w:ascii="Times New Roman" w:cs="Times New Roman" w:eastAsia="Times New Roman" w:hAnsi="Times New Roman"/>
          <w:sz w:val="14"/>
          <w:szCs w:val="14"/>
          <w:color w:val="auto"/>
        </w:rPr>
        <w:t>: For geothermal projects that involve hydroelectric components or are located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federal lands with water resources, FERC may require additional licensing and compliance with specific regulations. This can include adherence to water quality standards and protection of aquatic habitats.</w:t>
      </w:r>
    </w:p>
    <w:p>
      <w:pPr>
        <w:spacing w:after="0" w:line="8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environmental regulations </w:t>
      </w:r>
      <w:r>
        <w:rPr>
          <w:rFonts w:ascii="Times New Roman" w:cs="Times New Roman" w:eastAsia="Times New Roman" w:hAnsi="Times New Roman"/>
          <w:sz w:val="14"/>
          <w:szCs w:val="14"/>
          <w:color w:val="auto"/>
        </w:rPr>
        <w:t>. The following list provides an overview of the types of federal, state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local environmental laws and regulations required to develop and operate geothermal projects in the United States. Depending on the state or locality where a project is located, such project may be subject to additional environmental regulations. Failure to comply with any of these environmental laws and regulations, as amended from time to time, may have a material adverse impact on our capital expenditures, results of operations or financial position.</w:t>
      </w:r>
    </w:p>
    <w:p>
      <w:pPr>
        <w:sectPr>
          <w:pgSz w:w="11900" w:h="16889" w:orient="portrait"/>
          <w:cols w:equalWidth="0" w:num="1">
            <w:col w:w="9019"/>
          </w:cols>
          <w:pgMar w:left="1440" w:top="114" w:right="1440" w:bottom="0" w:gutter="0" w:footer="0" w:header="0"/>
        </w:sect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119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Management, Disposal, and Remediation of Hazardous Substances </w:t>
      </w:r>
      <w:r>
        <w:rPr>
          <w:rFonts w:ascii="Times New Roman" w:cs="Times New Roman" w:eastAsia="Times New Roman" w:hAnsi="Times New Roman"/>
          <w:sz w:val="14"/>
          <w:szCs w:val="14"/>
          <w:color w:val="auto"/>
        </w:rPr>
        <w:t>. Geothermal projects and materials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handled, stored, or disposed of on project properties may be subject to the federal Resource Conservation and Recovery Act, the Toxic Substances Control Act, the Comprehensive Environmental Response, Compensation, and Liability Act (“CERCLA”), and analogous state laws. CERCLA imposes liability, without regard to fault or the legality of the original conduct, on certain classes of persons known as potentially responsible parties, with respect to the release of “hazardous substances” into the environment. Potentially responsible parties include the current and past owners or operators of a disposal site or site where the release occurred and third parties who disposed of or arranged for the disposal of hazardous substances found at such sites. Under CERCLA, potentially responsible parties may be subject to strict, joint and several and retroactive liability for the remediation of hazardous substances that have been released into the environment and for damage to natural resources. Geothermal project developers could be responsible for the costs of investigation and cleanup, and for any related liabilities, including claims from neighboring landowners, governmental agencies, citizen organizations and other third parties for damage to property, persons, or natural resources allegedly caused by the release of hazardous substances into the environment.</w:t>
      </w:r>
    </w:p>
    <w:p>
      <w:pPr>
        <w:spacing w:after="0" w:line="200" w:lineRule="exact"/>
        <w:rPr>
          <w:sz w:val="20"/>
          <w:szCs w:val="20"/>
          <w:color w:val="auto"/>
        </w:rPr>
      </w:pPr>
    </w:p>
    <w:p>
      <w:pPr>
        <w:sectPr>
          <w:pgSz w:w="11900" w:h="16889" w:orient="portrait"/>
          <w:cols w:equalWidth="0" w:num="2">
            <w:col w:w="1460" w:space="200"/>
            <w:col w:w="7359"/>
          </w:cols>
          <w:pgMar w:left="1440" w:top="114" w:right="1440" w:bottom="0" w:gutter="0" w:footer="0" w:header="0"/>
          <w:type w:val="continuous"/>
        </w:sectPr>
      </w:pPr>
    </w:p>
    <w:p>
      <w:pPr>
        <w:spacing w:after="0" w:line="74" w:lineRule="exact"/>
        <w:rPr>
          <w:sz w:val="20"/>
          <w:szCs w:val="20"/>
          <w:color w:val="auto"/>
        </w:rPr>
      </w:pPr>
    </w:p>
    <w:p>
      <w:pPr>
        <w:ind w:left="1660" w:right="1179" w:hanging="249"/>
        <w:spacing w:after="0" w:line="260" w:lineRule="auto"/>
        <w:tabs>
          <w:tab w:leader="none" w:pos="16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Clean Water Act </w:t>
      </w:r>
      <w:r>
        <w:rPr>
          <w:rFonts w:ascii="Times New Roman" w:cs="Times New Roman" w:eastAsia="Times New Roman" w:hAnsi="Times New Roman"/>
          <w:sz w:val="14"/>
          <w:szCs w:val="14"/>
          <w:color w:val="auto"/>
        </w:rPr>
        <w:t>. The Clean Water Act (“CWA”) and comparable state laws impose restrictions and strict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controls regarding the discharge of pollutants into or near waters of the United States (“WOTUS”) or state waters. The discharge of pollutants into regulated waters is prohibited, including water discharges such as storm water runoff associated with construction activities, except in accordance with the terms of a permit issued by the EPA or an analogous state agency. The discharge of dredge and fill material into regulated waters, including wetlands, is also prohibited, unless authorized by a permit issued by the Army Corps of Engineers (“USACE”). Geothermal project developers may also be required to mitigate any loss of wetland functions and values. Additionally, geothermal project developers may be required to follow a variety of best management practices to ensure that water quality is protected and the adverse environmental impacts of the project to water resources are minimized (e.g., erosion control measures).</w:t>
      </w:r>
    </w:p>
    <w:p>
      <w:pPr>
        <w:spacing w:after="0" w:line="103" w:lineRule="exact"/>
        <w:rPr>
          <w:rFonts w:ascii="Times New Roman" w:cs="Times New Roman" w:eastAsia="Times New Roman" w:hAnsi="Times New Roman"/>
          <w:sz w:val="14"/>
          <w:szCs w:val="14"/>
          <w:color w:val="auto"/>
        </w:rPr>
      </w:pPr>
    </w:p>
    <w:p>
      <w:pPr>
        <w:ind w:left="1660" w:right="1199" w:hanging="249"/>
        <w:spacing w:after="0" w:line="261" w:lineRule="auto"/>
        <w:tabs>
          <w:tab w:leader="none" w:pos="16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Clean Air Act </w:t>
      </w:r>
      <w:r>
        <w:rPr>
          <w:rFonts w:ascii="Times New Roman" w:cs="Times New Roman" w:eastAsia="Times New Roman" w:hAnsi="Times New Roman"/>
          <w:sz w:val="14"/>
          <w:szCs w:val="14"/>
          <w:color w:val="auto"/>
        </w:rPr>
        <w:t>. Certain operations may be subject to federal, state, or local permitting requirements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Clean Air Act, which regulates the emission of air pollutants, including greenhouse gases, and may require obtaining permits and approvals prior to construction. For example, wells and geothermal power plants require a preconstruction air permit before earthwork can commence. In addition, in some jurisdictions, the wells that are to be used for production require, and those used for injection may require, air emissions permits to operate. Internal combustion engines and other air pollutant emissions sources at the geothermal projects may also require air emissions permits, including managing fugitive dust emissions during construction. These permits are typically issued at the state or county level.</w:t>
      </w:r>
    </w:p>
    <w:p>
      <w:pPr>
        <w:spacing w:after="0" w:line="102" w:lineRule="exact"/>
        <w:rPr>
          <w:rFonts w:ascii="Times New Roman" w:cs="Times New Roman" w:eastAsia="Times New Roman" w:hAnsi="Times New Roman"/>
          <w:sz w:val="14"/>
          <w:szCs w:val="14"/>
          <w:color w:val="auto"/>
        </w:rPr>
      </w:pPr>
    </w:p>
    <w:p>
      <w:pPr>
        <w:ind w:left="1660" w:right="1339" w:hanging="249"/>
        <w:spacing w:after="0" w:line="269" w:lineRule="auto"/>
        <w:tabs>
          <w:tab w:leader="none" w:pos="16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Threatened, Endangered and Protected Species </w:t>
      </w:r>
      <w:r>
        <w:rPr>
          <w:rFonts w:ascii="Times New Roman" w:cs="Times New Roman" w:eastAsia="Times New Roman" w:hAnsi="Times New Roman"/>
          <w:sz w:val="14"/>
          <w:szCs w:val="14"/>
          <w:color w:val="auto"/>
        </w:rPr>
        <w:t>. Federal agencies considering permit applications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geothermal projects that may affect species listed under the federal Endangered Species Act (“ESA”) are required to consult with the United States Fish and Wildlife Service (“USFWS”) (for terrestrial and freshwater species) and the National Marine Fisheries Service (for marine and anadromous species). The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159"/>
        <w:spacing w:after="0" w:line="262" w:lineRule="auto"/>
        <w:rPr>
          <w:sz w:val="20"/>
          <w:szCs w:val="20"/>
          <w:color w:val="auto"/>
        </w:rPr>
      </w:pPr>
      <w:r>
        <w:rPr>
          <w:rFonts w:ascii="Times New Roman" w:cs="Times New Roman" w:eastAsia="Times New Roman" w:hAnsi="Times New Roman"/>
          <w:sz w:val="14"/>
          <w:szCs w:val="14"/>
          <w:color w:val="auto"/>
        </w:rPr>
        <w:t>ESA also prohibits the “take” of a threatened or endangered species absent authorization. Geothermal projects are also required to comply with the Migratory Bird Treaty Act and the Bald and Golden Eagle Protection Act, which provide various protections for migratory birds and bald and golden eagles, respectively. Most states also have similar laws. Federal and state agencies may require geothermal project developers to conduct avian and bat risk assessments prior to issuing permits for geothermal projects, and may also require ongoing monitoring and mitigation activities, best management practices, or compensation mitigation.</w:t>
      </w:r>
    </w:p>
    <w:p>
      <w:pPr>
        <w:spacing w:after="0" w:line="277"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Overall, these regulatory frameworks impose various restrictions and limitations on geothermal power generation operations to ensure environmental protection, public involvement, and fair market practices. Compliance with these regulations is essential for the successful development and operation of geothermal projects.</w:t>
      </w:r>
    </w:p>
    <w:p>
      <w:pPr>
        <w:sectPr>
          <w:pgSz w:w="11900" w:h="16889" w:orient="portrait"/>
          <w:cols w:equalWidth="0" w:num="1">
            <w:col w:w="9019"/>
          </w:cols>
          <w:pgMar w:left="1440" w:top="114" w:right="1440" w:bottom="0" w:gutter="0" w:footer="0" w:header="0"/>
          <w:type w:val="continuous"/>
        </w:sectPr>
      </w:pPr>
    </w:p>
    <w:bookmarkStart w:id="99" w:name="page100"/>
    <w:bookmarkEnd w:id="99"/>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State and Local Regulations</w:t>
      </w:r>
    </w:p>
    <w:p>
      <w:pPr>
        <w:spacing w:after="0" w:line="144" w:lineRule="exact"/>
        <w:rPr>
          <w:sz w:val="20"/>
          <w:szCs w:val="20"/>
          <w:color w:val="auto"/>
        </w:rPr>
      </w:pPr>
    </w:p>
    <w:p>
      <w:pPr>
        <w:ind w:left="1160" w:right="1219" w:firstLine="258"/>
        <w:spacing w:after="0" w:line="271" w:lineRule="auto"/>
        <w:rPr>
          <w:sz w:val="20"/>
          <w:szCs w:val="20"/>
          <w:color w:val="auto"/>
        </w:rPr>
      </w:pPr>
      <w:r>
        <w:rPr>
          <w:rFonts w:ascii="Times New Roman" w:cs="Times New Roman" w:eastAsia="Times New Roman" w:hAnsi="Times New Roman"/>
          <w:sz w:val="14"/>
          <w:szCs w:val="14"/>
          <w:color w:val="auto"/>
        </w:rPr>
        <w:t>State governments play a significant role in regulating geothermal energy production, with each state having its own permitting and regulatory requirements. These regulations often cover drilling permits, water rights, and environmental protection measures. Local governments may also impose additional zoning and land use requirements.</w:t>
      </w:r>
    </w:p>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California</w:t>
      </w:r>
    </w:p>
    <w:p>
      <w:pPr>
        <w:spacing w:after="0" w:line="140" w:lineRule="exact"/>
        <w:rPr>
          <w:sz w:val="20"/>
          <w:szCs w:val="20"/>
          <w:color w:val="auto"/>
        </w:rPr>
      </w:pPr>
    </w:p>
    <w:p>
      <w:pPr>
        <w:ind w:left="1660" w:right="1179" w:hanging="249"/>
        <w:spacing w:after="0" w:line="269" w:lineRule="auto"/>
        <w:tabs>
          <w:tab w:leader="none" w:pos="16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California Energy Commission (“CEC”) </w:t>
      </w:r>
      <w:r>
        <w:rPr>
          <w:rFonts w:ascii="Times New Roman" w:cs="Times New Roman" w:eastAsia="Times New Roman" w:hAnsi="Times New Roman"/>
          <w:sz w:val="14"/>
          <w:szCs w:val="14"/>
          <w:color w:val="auto"/>
        </w:rPr>
        <w:t>: The CEC is responsible for energy policy planning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in California. It oversees the permitting process for geothermal projects, ensuring they align with state energy goals and environmental standards. The CEC also conducts research and provides funding for renewable energy projects, including geothermal.</w:t>
      </w:r>
    </w:p>
    <w:p>
      <w:pPr>
        <w:sectPr>
          <w:pgSz w:w="11900" w:h="16838" w:orient="portrait"/>
          <w:cols w:equalWidth="0" w:num="1">
            <w:col w:w="9019"/>
          </w:cols>
          <w:pgMar w:left="1440" w:top="207" w:right="1440" w:bottom="0" w:gutter="0" w:footer="0" w:header="0"/>
        </w:sectPr>
      </w:pPr>
    </w:p>
    <w:p>
      <w:pPr>
        <w:spacing w:after="0" w:line="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California Department of Conservation, Division of Oil, Gas, and Geothermal Resources (“DOGGR”) </w:t>
      </w:r>
      <w:r>
        <w:rPr>
          <w:rFonts w:ascii="Times New Roman" w:cs="Times New Roman" w:eastAsia="Times New Roman" w:hAnsi="Times New Roman"/>
          <w:sz w:val="14"/>
          <w:szCs w:val="14"/>
          <w:color w:val="auto"/>
        </w:rPr>
        <w:t>DOGGR regulates the drilling, operation, and closure of geothermal wells. It ensures that geothermal operations comply with safety and environmental standards to protect public health and natural resources.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81" w:lineRule="exact"/>
        <w:rPr>
          <w:sz w:val="20"/>
          <w:szCs w:val="20"/>
          <w:color w:val="auto"/>
        </w:rPr>
      </w:pPr>
    </w:p>
    <w:p>
      <w:pPr>
        <w:sectPr>
          <w:pgSz w:w="11900" w:h="16838" w:orient="portrait"/>
          <w:cols w:equalWidth="0" w:num="3">
            <w:col w:w="1460" w:space="200"/>
            <w:col w:w="6060" w:space="100"/>
            <w:col w:w="1199"/>
          </w:cols>
          <w:pgMar w:left="1440" w:top="207" w:right="1440" w:bottom="0" w:gutter="0" w:footer="0" w:header="0"/>
          <w:type w:val="continuous"/>
        </w:sectPr>
      </w:pP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1379"/>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California Public Utilities Commission (“CPUC”) </w:t>
      </w:r>
      <w:r>
        <w:rPr>
          <w:rFonts w:ascii="Times New Roman" w:cs="Times New Roman" w:eastAsia="Times New Roman" w:hAnsi="Times New Roman"/>
          <w:sz w:val="14"/>
          <w:szCs w:val="14"/>
          <w:color w:val="auto"/>
        </w:rPr>
        <w:t>: The CPUC regulates the state’s electricity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the integration of geothermal energy. It enforces California’s renewable portfolio standards (RPS), which require utilities to source a certain percentage of their energy from renewable sources, including geothermal.</w:t>
      </w:r>
    </w:p>
    <w:p>
      <w:pPr>
        <w:spacing w:after="0" w:line="94" w:lineRule="exact"/>
        <w:rPr>
          <w:sz w:val="20"/>
          <w:szCs w:val="20"/>
          <w:color w:val="auto"/>
        </w:rPr>
      </w:pPr>
    </w:p>
    <w:p>
      <w:pPr>
        <w:sectPr>
          <w:pgSz w:w="11900" w:h="16838" w:orient="portrait"/>
          <w:cols w:equalWidth="0" w:num="2">
            <w:col w:w="1460" w:space="200"/>
            <w:col w:w="7359"/>
          </w:cols>
          <w:pgMar w:left="1440" w:top="207" w:right="1440" w:bottom="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i w:val="1"/>
          <w:iCs w:val="1"/>
          <w:color w:val="auto"/>
        </w:rPr>
        <w:t>Colorado</w:t>
      </w:r>
    </w:p>
    <w:p>
      <w:pPr>
        <w:spacing w:after="0" w:line="140" w:lineRule="exact"/>
        <w:rPr>
          <w:sz w:val="20"/>
          <w:szCs w:val="20"/>
          <w:color w:val="auto"/>
        </w:rPr>
      </w:pPr>
    </w:p>
    <w:p>
      <w:pPr>
        <w:ind w:left="1660" w:right="1179" w:hanging="249"/>
        <w:spacing w:after="0" w:line="275" w:lineRule="auto"/>
        <w:tabs>
          <w:tab w:leader="none" w:pos="16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Colorado Division of Water Resources </w:t>
      </w:r>
      <w:r>
        <w:rPr>
          <w:rFonts w:ascii="Times New Roman" w:cs="Times New Roman" w:eastAsia="Times New Roman" w:hAnsi="Times New Roman"/>
          <w:sz w:val="14"/>
          <w:szCs w:val="14"/>
          <w:color w:val="auto"/>
        </w:rPr>
        <w:t>: This division manages water rights and usage, which are critical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geothermal operations that require water for cooling or reinjection. It ensures that geothermal projects do not adversely affect water availability for other users.</w:t>
      </w:r>
    </w:p>
    <w:p>
      <w:pPr>
        <w:spacing w:after="0" w:line="90" w:lineRule="exact"/>
        <w:rPr>
          <w:rFonts w:ascii="Times New Roman" w:cs="Times New Roman" w:eastAsia="Times New Roman" w:hAnsi="Times New Roman"/>
          <w:sz w:val="14"/>
          <w:szCs w:val="14"/>
          <w:color w:val="auto"/>
        </w:rPr>
      </w:pPr>
    </w:p>
    <w:p>
      <w:pPr>
        <w:ind w:left="1660" w:right="1219" w:hanging="249"/>
        <w:spacing w:after="0" w:line="275" w:lineRule="auto"/>
        <w:tabs>
          <w:tab w:leader="none" w:pos="16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Colorado Energy Office</w:t>
      </w:r>
      <w:r>
        <w:rPr>
          <w:rFonts w:ascii="Times New Roman" w:cs="Times New Roman" w:eastAsia="Times New Roman" w:hAnsi="Times New Roman"/>
          <w:sz w:val="14"/>
          <w:szCs w:val="14"/>
          <w:color w:val="auto"/>
        </w:rPr>
        <w:t>: The office promotes the development of renewable energy, including geothermal,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policy support, incentives, and public-private partnerships. It works to advance Colorado’s clean energy goals and reduce greenhouse gas emissions.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Idaho</w:t>
      </w:r>
    </w:p>
    <w:p>
      <w:pPr>
        <w:spacing w:after="0" w:line="140" w:lineRule="exact"/>
        <w:rPr>
          <w:sz w:val="20"/>
          <w:szCs w:val="20"/>
          <w:color w:val="auto"/>
        </w:rPr>
      </w:pPr>
    </w:p>
    <w:p>
      <w:pPr>
        <w:ind w:left="1660" w:right="1199" w:hanging="249"/>
        <w:spacing w:after="0" w:line="275" w:lineRule="auto"/>
        <w:tabs>
          <w:tab w:leader="none" w:pos="16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Idaho Department of Water Resources (“IDWR”) </w:t>
      </w:r>
      <w:r>
        <w:rPr>
          <w:rFonts w:ascii="Times New Roman" w:cs="Times New Roman" w:eastAsia="Times New Roman" w:hAnsi="Times New Roman"/>
          <w:sz w:val="14"/>
          <w:szCs w:val="14"/>
          <w:color w:val="auto"/>
        </w:rPr>
        <w:t>: IDWR regulates the exploration and development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geothermal resources. It issues permits for drilling and water use, ensuring that geothermal projects comply with state water laws and environmental standards.</w:t>
      </w:r>
    </w:p>
    <w:p>
      <w:pPr>
        <w:spacing w:after="0" w:line="90" w:lineRule="exact"/>
        <w:rPr>
          <w:rFonts w:ascii="Times New Roman" w:cs="Times New Roman" w:eastAsia="Times New Roman" w:hAnsi="Times New Roman"/>
          <w:sz w:val="14"/>
          <w:szCs w:val="14"/>
          <w:color w:val="auto"/>
        </w:rPr>
      </w:pPr>
    </w:p>
    <w:p>
      <w:pPr>
        <w:jc w:val="both"/>
        <w:ind w:left="1660" w:right="1179" w:hanging="249"/>
        <w:spacing w:after="0" w:line="275" w:lineRule="auto"/>
        <w:tabs>
          <w:tab w:leader="none" w:pos="16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Idaho Public Utilities Commission (“IPUC”)</w:t>
      </w:r>
      <w:r>
        <w:rPr>
          <w:rFonts w:ascii="Times New Roman" w:cs="Times New Roman" w:eastAsia="Times New Roman" w:hAnsi="Times New Roman"/>
          <w:sz w:val="14"/>
          <w:szCs w:val="14"/>
          <w:color w:val="auto"/>
        </w:rPr>
        <w:t>: The IPUC oversees the integration of geothermal energy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Idaho’s electricity grid. It regulates utility rates and services, ensuring that geothermal energy contributes to the state’s energy mix in a cost-effective and reliable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New Mexico</w:t>
      </w:r>
    </w:p>
    <w:p>
      <w:pPr>
        <w:spacing w:after="0" w:line="140" w:lineRule="exact"/>
        <w:rPr>
          <w:sz w:val="20"/>
          <w:szCs w:val="20"/>
          <w:color w:val="auto"/>
        </w:rPr>
      </w:pPr>
    </w:p>
    <w:p>
      <w:pPr>
        <w:ind w:left="1660" w:right="1239" w:hanging="239"/>
        <w:spacing w:after="0" w:line="275" w:lineRule="auto"/>
        <w:tabs>
          <w:tab w:leader="none" w:pos="16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i w:val="1"/>
          <w:iCs w:val="1"/>
          <w:color w:val="auto"/>
        </w:rPr>
        <w:t xml:space="preserve">New Mexico Energy, Minerals and Natural Resources Department (“EMNRD”) </w:t>
      </w:r>
      <w:r>
        <w:rPr>
          <w:rFonts w:ascii="Times New Roman" w:cs="Times New Roman" w:eastAsia="Times New Roman" w:hAnsi="Times New Roman"/>
          <w:sz w:val="14"/>
          <w:szCs w:val="14"/>
          <w:color w:val="auto"/>
        </w:rPr>
        <w:t>: EMNRD manages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of geothermal resources, providing permits for exploration and production. It ensures that geothermal projects comply with state environmental regulations and land use policies.</w:t>
      </w:r>
    </w:p>
    <w:p>
      <w:pPr>
        <w:spacing w:after="0" w:line="91" w:lineRule="exact"/>
        <w:rPr>
          <w:sz w:val="20"/>
          <w:szCs w:val="20"/>
          <w:color w:val="auto"/>
        </w:rPr>
      </w:pPr>
    </w:p>
    <w:p>
      <w:pPr>
        <w:ind w:left="1660" w:right="1259" w:hanging="249"/>
        <w:spacing w:after="0" w:line="275" w:lineRule="auto"/>
        <w:tabs>
          <w:tab w:leader="none" w:pos="16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New Mexico Environment Department (“NMED”) </w:t>
      </w:r>
      <w:r>
        <w:rPr>
          <w:rFonts w:ascii="Times New Roman" w:cs="Times New Roman" w:eastAsia="Times New Roman" w:hAnsi="Times New Roman"/>
          <w:sz w:val="14"/>
          <w:szCs w:val="14"/>
          <w:color w:val="auto"/>
        </w:rPr>
        <w:t>: NMED enforces environmental regulations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air and water quality for geothermal projects. It ensures that geothermal operations do not negatively impact the environment or public health.</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Nevada</w:t>
      </w:r>
    </w:p>
    <w:p>
      <w:pPr>
        <w:spacing w:after="0" w:line="140" w:lineRule="exact"/>
        <w:rPr>
          <w:sz w:val="20"/>
          <w:szCs w:val="20"/>
          <w:color w:val="auto"/>
        </w:rPr>
      </w:pPr>
    </w:p>
    <w:p>
      <w:pPr>
        <w:ind w:left="1660" w:right="1179" w:hanging="249"/>
        <w:spacing w:after="0" w:line="275" w:lineRule="auto"/>
        <w:tabs>
          <w:tab w:leader="none" w:pos="16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Nevada Division of Minerals</w:t>
      </w:r>
      <w:r>
        <w:rPr>
          <w:rFonts w:ascii="Times New Roman" w:cs="Times New Roman" w:eastAsia="Times New Roman" w:hAnsi="Times New Roman"/>
          <w:sz w:val="14"/>
          <w:szCs w:val="14"/>
          <w:color w:val="auto"/>
        </w:rPr>
        <w:t>: This division oversees the permitting and regulation of geothermal resources.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 ensures that geothermal projects are developed sustainably and in compliance with environmental protection standards.</w:t>
      </w:r>
    </w:p>
    <w:p>
      <w:pPr>
        <w:spacing w:after="0" w:line="90" w:lineRule="exact"/>
        <w:rPr>
          <w:rFonts w:ascii="Times New Roman" w:cs="Times New Roman" w:eastAsia="Times New Roman" w:hAnsi="Times New Roman"/>
          <w:sz w:val="14"/>
          <w:szCs w:val="14"/>
          <w:color w:val="auto"/>
        </w:rPr>
      </w:pPr>
    </w:p>
    <w:p>
      <w:pPr>
        <w:ind w:left="1660" w:right="1199" w:hanging="249"/>
        <w:spacing w:after="0" w:line="275" w:lineRule="auto"/>
        <w:tabs>
          <w:tab w:leader="none" w:pos="16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Nevada Public Utilities Commission (“PUCN”)</w:t>
      </w:r>
      <w:r>
        <w:rPr>
          <w:rFonts w:ascii="Times New Roman" w:cs="Times New Roman" w:eastAsia="Times New Roman" w:hAnsi="Times New Roman"/>
          <w:sz w:val="14"/>
          <w:szCs w:val="14"/>
          <w:color w:val="auto"/>
        </w:rPr>
        <w:t>: The PUCN regulates the integration of geothermal energy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Nevada’s electricity grid. It supports the state’s renewable energy initiatives and ensures that geothermal energy contributes to Nevada’s energy goals.</w:t>
      </w:r>
    </w:p>
    <w:p>
      <w:pPr>
        <w:spacing w:after="0" w:line="90" w:lineRule="exact"/>
        <w:rPr>
          <w:rFonts w:ascii="Times New Roman" w:cs="Times New Roman" w:eastAsia="Times New Roman" w:hAnsi="Times New Roman"/>
          <w:sz w:val="14"/>
          <w:szCs w:val="14"/>
          <w:color w:val="auto"/>
        </w:rPr>
      </w:pPr>
    </w:p>
    <w:p>
      <w:pPr>
        <w:ind w:left="1660" w:right="1179" w:hanging="249"/>
        <w:spacing w:after="0" w:line="269" w:lineRule="auto"/>
        <w:tabs>
          <w:tab w:leader="none" w:pos="16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Nevada Division of Environmental Protection (“NDEP”) </w:t>
      </w:r>
      <w:r>
        <w:rPr>
          <w:rFonts w:ascii="Times New Roman" w:cs="Times New Roman" w:eastAsia="Times New Roman" w:hAnsi="Times New Roman"/>
          <w:sz w:val="14"/>
          <w:szCs w:val="14"/>
          <w:color w:val="auto"/>
        </w:rPr>
        <w:t>: The NDEP oversees environmental compliance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geothermal development in Nevada, including permitting for air quality, water resources, and surface disturbance. It ensures that geothermal projects meet state environmental standards and operate in a manner that protects Nevada’s natural resources throughout the project lifecycle.</w:t>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Utah</w:t>
      </w:r>
    </w:p>
    <w:p>
      <w:pPr>
        <w:spacing w:after="0" w:line="140" w:lineRule="exact"/>
        <w:rPr>
          <w:sz w:val="20"/>
          <w:szCs w:val="20"/>
          <w:color w:val="auto"/>
        </w:rPr>
      </w:pPr>
    </w:p>
    <w:p>
      <w:pPr>
        <w:ind w:left="1660" w:right="1419" w:hanging="249"/>
        <w:spacing w:after="0" w:line="275" w:lineRule="auto"/>
        <w:tabs>
          <w:tab w:leader="none" w:pos="16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Utah Division of Water Rights </w:t>
      </w:r>
      <w:r>
        <w:rPr>
          <w:rFonts w:ascii="Times New Roman" w:cs="Times New Roman" w:eastAsia="Times New Roman" w:hAnsi="Times New Roman"/>
          <w:sz w:val="14"/>
          <w:szCs w:val="14"/>
          <w:color w:val="auto"/>
        </w:rPr>
        <w:t>: This division manages water rights and usage for geothermal projects,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ensuring compliance with state water laws. It regulates the allocation and use of water resources for geothermal operations.</w:t>
      </w:r>
    </w:p>
    <w:p>
      <w:pPr>
        <w:spacing w:after="0" w:line="90" w:lineRule="exact"/>
        <w:rPr>
          <w:rFonts w:ascii="Times New Roman" w:cs="Times New Roman" w:eastAsia="Times New Roman" w:hAnsi="Times New Roman"/>
          <w:sz w:val="14"/>
          <w:szCs w:val="14"/>
          <w:color w:val="auto"/>
        </w:rPr>
      </w:pPr>
    </w:p>
    <w:p>
      <w:pPr>
        <w:ind w:left="1660" w:right="1179" w:hanging="249"/>
        <w:spacing w:after="0" w:line="275" w:lineRule="auto"/>
        <w:tabs>
          <w:tab w:leader="none" w:pos="16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Utah Geological Survey (“UGS”)</w:t>
      </w:r>
      <w:r>
        <w:rPr>
          <w:rFonts w:ascii="Times New Roman" w:cs="Times New Roman" w:eastAsia="Times New Roman" w:hAnsi="Times New Roman"/>
          <w:sz w:val="14"/>
          <w:szCs w:val="14"/>
          <w:color w:val="auto"/>
        </w:rPr>
        <w:t>: The UGS provides research and data on geothermal resources to support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and policy-making. It conducts studies and assessments to identify geothermal potential and inform regulatory decisions.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Washington State</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17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Washington State Department of Natural Resources (“DNR”)</w:t>
            </w: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The DNR regulates the exploration and</w:t>
            </w:r>
          </w:p>
        </w:tc>
      </w:tr>
      <w:tr>
        <w:trPr>
          <w:trHeight w:val="172"/>
        </w:trPr>
        <w:tc>
          <w:tcPr>
            <w:tcW w:w="140" w:type="dxa"/>
            <w:vAlign w:val="bottom"/>
          </w:tcPr>
          <w:p>
            <w:pPr>
              <w:spacing w:after="0"/>
              <w:rPr>
                <w:sz w:val="14"/>
                <w:szCs w:val="14"/>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development of geothermal resources, ensuring compliance with state environmental and land use laws. It</w:t>
            </w:r>
          </w:p>
        </w:tc>
      </w:tr>
      <w:tr>
        <w:trPr>
          <w:trHeight w:val="186"/>
        </w:trPr>
        <w:tc>
          <w:tcPr>
            <w:tcW w:w="140" w:type="dxa"/>
            <w:vAlign w:val="bottom"/>
          </w:tcPr>
          <w:p>
            <w:pPr>
              <w:spacing w:after="0"/>
              <w:rPr>
                <w:sz w:val="16"/>
                <w:szCs w:val="16"/>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manages state lands and resources, including geothermal energy.</w:t>
            </w:r>
          </w:p>
        </w:tc>
        <w:tc>
          <w:tcPr>
            <w:tcW w:w="2380" w:type="dxa"/>
            <w:vAlign w:val="bottom"/>
          </w:tcPr>
          <w:p>
            <w:pPr>
              <w:spacing w:after="0"/>
              <w:rPr>
                <w:sz w:val="16"/>
                <w:szCs w:val="16"/>
                <w:color w:val="auto"/>
              </w:rPr>
            </w:pPr>
          </w:p>
        </w:tc>
      </w:tr>
      <w:tr>
        <w:trPr>
          <w:trHeight w:val="287"/>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Washington Utilities and Transportation Commission (“UTC”)</w:t>
            </w:r>
          </w:p>
        </w:tc>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The UTC oversees the integration of</w:t>
            </w:r>
          </w:p>
        </w:tc>
      </w:tr>
      <w:tr>
        <w:trPr>
          <w:trHeight w:val="186"/>
        </w:trPr>
        <w:tc>
          <w:tcPr>
            <w:tcW w:w="140" w:type="dxa"/>
            <w:vAlign w:val="bottom"/>
          </w:tcPr>
          <w:p>
            <w:pPr>
              <w:spacing w:after="0"/>
              <w:rPr>
                <w:sz w:val="16"/>
                <w:szCs w:val="16"/>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geothermal energy into Washington’s electricity grid. It regulates utility rates and services, supporting the</w:t>
            </w:r>
          </w:p>
        </w:tc>
      </w:tr>
    </w:tbl>
    <w:p>
      <w:pPr>
        <w:sectPr>
          <w:pgSz w:w="11900" w:h="16838" w:orient="portrait"/>
          <w:cols w:equalWidth="0" w:num="1">
            <w:col w:w="9019"/>
          </w:cols>
          <w:pgMar w:left="1440" w:top="207" w:right="1440" w:bottom="0" w:gutter="0" w:footer="0" w:header="0"/>
          <w:type w:val="continuous"/>
        </w:sectPr>
      </w:pPr>
    </w:p>
    <w:bookmarkStart w:id="100" w:name="page101"/>
    <w:bookmarkEnd w:id="100"/>
    <w:p>
      <w:pPr>
        <w:spacing w:after="0" w:line="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state’s renewable energy policies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3"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In addition to these state-level regulations, local governments in each state may impose additional zoning, land use, and environmental regulations that geothermal projects must comply with. These local regulations can vary widely depending on the specific municipality or county where a project is located. Fervo Energy and other geothermal developers must navigate this complex regulatory landscape to ensure compliance and facilitate project development.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Environmental Permits</w:t>
      </w:r>
    </w:p>
    <w:p>
      <w:pPr>
        <w:spacing w:after="0" w:line="144"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In the United States, geothermal projects may be required to obtain a variety of federal, state and local permits, approvals or other authorizations. Delays in obtaining or failure to obtain any required permit, approval or other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authorizations, and non-compliance with applicable permits and approvals, may have a material adverse impact on our capital expenditures, results of operations or financial positions.</w:t>
      </w:r>
    </w:p>
    <w:p>
      <w:pPr>
        <w:spacing w:after="0" w:line="79" w:lineRule="exact"/>
        <w:rPr>
          <w:sz w:val="20"/>
          <w:szCs w:val="20"/>
          <w:color w:val="auto"/>
        </w:rPr>
      </w:pPr>
    </w:p>
    <w:p>
      <w:pPr>
        <w:ind w:left="1660" w:right="1239" w:hanging="249"/>
        <w:spacing w:after="0" w:line="264" w:lineRule="auto"/>
        <w:tabs>
          <w:tab w:leader="none" w:pos="1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Land Use Approvals </w:t>
      </w:r>
      <w:r>
        <w:rPr>
          <w:rFonts w:ascii="Times New Roman" w:cs="Times New Roman" w:eastAsia="Times New Roman" w:hAnsi="Times New Roman"/>
          <w:sz w:val="14"/>
          <w:szCs w:val="14"/>
          <w:color w:val="auto"/>
        </w:rPr>
        <w:t>: Geothermal projects may require certain land use approvals and permits,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 and utilization plan approvals, right of way approvals where the geothermal project is entirely or partly on BLM or USFS lands, and special use permits or conditional use permits from local planning authorities. Such permits and approvals may require a review of environmental impacts in conformance with NEPA as noted above. Federal, state and local land use approvals often impose conditions and restrictions on the construction, scope and operation of geothermal projects.</w:t>
      </w:r>
    </w:p>
    <w:p>
      <w:pPr>
        <w:spacing w:after="0" w:line="97" w:lineRule="exact"/>
        <w:rPr>
          <w:rFonts w:ascii="Times New Roman" w:cs="Times New Roman" w:eastAsia="Times New Roman" w:hAnsi="Times New Roman"/>
          <w:sz w:val="14"/>
          <w:szCs w:val="14"/>
          <w:color w:val="auto"/>
        </w:rPr>
      </w:pPr>
    </w:p>
    <w:p>
      <w:pPr>
        <w:ind w:left="1660" w:right="1179" w:hanging="249"/>
        <w:spacing w:after="0" w:line="260" w:lineRule="auto"/>
        <w:tabs>
          <w:tab w:leader="none" w:pos="1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Well Permits </w:t>
      </w:r>
      <w:r>
        <w:rPr>
          <w:rFonts w:ascii="Times New Roman" w:cs="Times New Roman" w:eastAsia="Times New Roman" w:hAnsi="Times New Roman"/>
          <w:sz w:val="14"/>
          <w:szCs w:val="14"/>
          <w:color w:val="auto"/>
        </w:rPr>
        <w:t>. Geothermal projects typically have four types of wells: (i) resource confirmation wells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designed to define and verify the geothermal resource, (ii) production wells to extract brine for the power plant, (iii) injection wells to inject the brine back into the subsurface resource, and (iv) monitoring wells to monitor the geothermal resource. For example, on BLM lands in Nevada, California, Oregon, Utah, and Idaho, the well permits take the form of geothermal drilling permits for well installation. Approvals are also required to modify wells, including for use as production or injection wells. For all wells drilled in Nevada, a geothermal drilling permit must also be obtained from the Nevada Division of Minerals. Those wells in Nevada to be used for injection will also require UIC permits from the Nevada Division of Environmental Protection, Bureau of Water Pollution Control. Geothermal wells in Utah require permits from the Utah Division of Water Rights, and injection wells require a permit from the Utah Department of Environmental Quality.</w:t>
      </w:r>
    </w:p>
    <w:p>
      <w:pPr>
        <w:spacing w:after="0" w:line="100" w:lineRule="exact"/>
        <w:rPr>
          <w:rFonts w:ascii="Times New Roman" w:cs="Times New Roman" w:eastAsia="Times New Roman" w:hAnsi="Times New Roman"/>
          <w:sz w:val="14"/>
          <w:szCs w:val="14"/>
          <w:color w:val="auto"/>
        </w:rPr>
      </w:pPr>
    </w:p>
    <w:p>
      <w:pPr>
        <w:ind w:left="1660" w:right="1559" w:hanging="249"/>
        <w:spacing w:after="0" w:line="295" w:lineRule="auto"/>
        <w:tabs>
          <w:tab w:leader="none" w:pos="1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Ministerial Permits </w:t>
      </w:r>
      <w:r>
        <w:rPr>
          <w:rFonts w:ascii="Times New Roman" w:cs="Times New Roman" w:eastAsia="Times New Roman" w:hAnsi="Times New Roman"/>
          <w:sz w:val="14"/>
          <w:szCs w:val="14"/>
          <w:color w:val="auto"/>
        </w:rPr>
        <w:t>: Ministerial permits such as building permits, hazardous materials storage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permits, and pressure vessel operating permits may be required for geothermal projects.</w:t>
      </w:r>
    </w:p>
    <w:p>
      <w:pPr>
        <w:spacing w:after="0" w:line="76" w:lineRule="exact"/>
        <w:rPr>
          <w:rFonts w:ascii="Times New Roman" w:cs="Times New Roman" w:eastAsia="Times New Roman" w:hAnsi="Times New Roman"/>
          <w:sz w:val="14"/>
          <w:szCs w:val="14"/>
          <w:color w:val="auto"/>
        </w:rPr>
      </w:pPr>
    </w:p>
    <w:p>
      <w:pPr>
        <w:ind w:left="1660" w:right="1239" w:hanging="249"/>
        <w:spacing w:after="0" w:line="261" w:lineRule="auto"/>
        <w:tabs>
          <w:tab w:leader="none" w:pos="1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Permits</w:t>
      </w:r>
      <w:r>
        <w:rPr>
          <w:rFonts w:ascii="Times New Roman" w:cs="Times New Roman" w:eastAsia="Times New Roman" w:hAnsi="Times New Roman"/>
          <w:sz w:val="14"/>
          <w:szCs w:val="14"/>
          <w:color w:val="auto"/>
        </w:rPr>
        <w:t>: Our operations require numerous other federal, state, and local authorizations, as discussed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For example, in Nevada we may be required to obtain water rights permits if water cooling is being used at a power plant. In addition to permits, there are various regulatory plans and programs that are required, including risk management plans (federal and state programs) and hazardous materials management plans (e.g., in California). In some cases, our projects may also require permits, issued by the applicable federal agencies or authorized state agencies, regarding threatened or endangered species, permits to impact wetlands or other waters and notices of construction of structures which may have an impact on airspace, as noted above.</w:t>
      </w:r>
    </w:p>
    <w:p>
      <w:pPr>
        <w:spacing w:after="0" w:line="105"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may experience regulatory delays in obtaining various environmental permits and approvals required for geothermal projects in development and construction. These delays may lead to increases in the time and cost to complete these projects. Non-compliance with any environmental permit and approval requirements could result in fines and penalties and could also affect our ability to operate the affected project.</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Fervo Energy’s Regulatory Strategy</w:t>
      </w:r>
    </w:p>
    <w:p>
      <w:pPr>
        <w:spacing w:after="0" w:line="142" w:lineRule="exact"/>
        <w:rPr>
          <w:sz w:val="20"/>
          <w:szCs w:val="20"/>
          <w:color w:val="auto"/>
        </w:rPr>
      </w:pPr>
    </w:p>
    <w:p>
      <w:pPr>
        <w:ind w:left="1660" w:right="1239" w:hanging="249"/>
        <w:spacing w:after="0" w:line="275" w:lineRule="auto"/>
        <w:tabs>
          <w:tab w:leader="none" w:pos="16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Innovative Technology and Compliance </w:t>
      </w:r>
      <w:r>
        <w:rPr>
          <w:rFonts w:ascii="Times New Roman" w:cs="Times New Roman" w:eastAsia="Times New Roman" w:hAnsi="Times New Roman"/>
          <w:sz w:val="14"/>
          <w:szCs w:val="14"/>
          <w:color w:val="auto"/>
        </w:rPr>
        <w:t>: Fervo Energy’s use of advanced drilling techniques and real-time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data analytics aligns with regulatory requirements by enhancing resource management and minimizing environmental impact. This approach supports compliance with both federal and state regulations.</w:t>
      </w:r>
    </w:p>
    <w:p>
      <w:pPr>
        <w:spacing w:after="0" w:line="90" w:lineRule="exact"/>
        <w:rPr>
          <w:rFonts w:ascii="Times New Roman" w:cs="Times New Roman" w:eastAsia="Times New Roman" w:hAnsi="Times New Roman"/>
          <w:sz w:val="14"/>
          <w:szCs w:val="14"/>
          <w:color w:val="auto"/>
        </w:rPr>
      </w:pPr>
    </w:p>
    <w:p>
      <w:pPr>
        <w:jc w:val="both"/>
        <w:ind w:left="1660" w:right="1259" w:hanging="249"/>
        <w:spacing w:after="0" w:line="275" w:lineRule="auto"/>
        <w:tabs>
          <w:tab w:leader="none" w:pos="16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Environmental Stewardship </w:t>
      </w:r>
      <w:r>
        <w:rPr>
          <w:rFonts w:ascii="Times New Roman" w:cs="Times New Roman" w:eastAsia="Times New Roman" w:hAnsi="Times New Roman"/>
          <w:sz w:val="14"/>
          <w:szCs w:val="14"/>
          <w:color w:val="auto"/>
        </w:rPr>
        <w:t>: Fervo Energy is committed to environmental stewardship, employing closed-loop systems that reduce water usage and surface impact. This commitment facilitates regulatory approval and aligns with NEPA’s environmental protection goals.</w:t>
      </w:r>
    </w:p>
    <w:p>
      <w:pPr>
        <w:spacing w:after="0" w:line="90" w:lineRule="exact"/>
        <w:rPr>
          <w:rFonts w:ascii="Times New Roman" w:cs="Times New Roman" w:eastAsia="Times New Roman" w:hAnsi="Times New Roman"/>
          <w:sz w:val="14"/>
          <w:szCs w:val="14"/>
          <w:color w:val="auto"/>
        </w:rPr>
      </w:pPr>
    </w:p>
    <w:p>
      <w:pPr>
        <w:ind w:left="1660" w:right="1379" w:hanging="249"/>
        <w:spacing w:after="0" w:line="269" w:lineRule="auto"/>
        <w:tabs>
          <w:tab w:leader="none" w:pos="16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Strategic Partnerships and Engagement </w:t>
      </w:r>
      <w:r>
        <w:rPr>
          <w:rFonts w:ascii="Times New Roman" w:cs="Times New Roman" w:eastAsia="Times New Roman" w:hAnsi="Times New Roman"/>
          <w:sz w:val="14"/>
          <w:szCs w:val="14"/>
          <w:color w:val="auto"/>
        </w:rPr>
        <w:t>: Fervo Energy collaborates with regulatory agencies, research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institutions, and industry partners to ensure compliance and advance geothermal technology. Early engagement with stakeholders and proactive environmental analysis can help streamline the regulatory process.</w:t>
      </w:r>
    </w:p>
    <w:p>
      <w:pPr>
        <w:spacing w:after="0" w:line="94" w:lineRule="exact"/>
        <w:rPr>
          <w:rFonts w:ascii="Times New Roman" w:cs="Times New Roman" w:eastAsia="Times New Roman" w:hAnsi="Times New Roman"/>
          <w:sz w:val="14"/>
          <w:szCs w:val="14"/>
          <w:color w:val="auto"/>
        </w:rPr>
      </w:pPr>
    </w:p>
    <w:p>
      <w:pPr>
        <w:jc w:val="both"/>
        <w:ind w:left="1660" w:right="1259" w:hanging="249"/>
        <w:spacing w:after="0" w:line="295" w:lineRule="auto"/>
        <w:tabs>
          <w:tab w:leader="none" w:pos="16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Site Selection and Planning </w:t>
      </w:r>
      <w:r>
        <w:rPr>
          <w:rFonts w:ascii="Times New Roman" w:cs="Times New Roman" w:eastAsia="Times New Roman" w:hAnsi="Times New Roman"/>
          <w:sz w:val="14"/>
          <w:szCs w:val="14"/>
          <w:color w:val="auto"/>
        </w:rPr>
        <w:t>: Fervo Energy strategically selects sites with strong industrial use and limited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environmental sensitivity to support eligibility for streamlined regulatory reviews. Adaptive planning and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59"/>
        <w:spacing w:after="0" w:line="292" w:lineRule="auto"/>
        <w:rPr>
          <w:sz w:val="20"/>
          <w:szCs w:val="20"/>
          <w:color w:val="auto"/>
        </w:rPr>
      </w:pPr>
      <w:r>
        <w:rPr>
          <w:rFonts w:ascii="Times New Roman" w:cs="Times New Roman" w:eastAsia="Times New Roman" w:hAnsi="Times New Roman"/>
          <w:sz w:val="14"/>
          <w:szCs w:val="14"/>
          <w:color w:val="auto"/>
        </w:rPr>
        <w:t>contingency buffers are incorporated into project schedules to accommodate varying levels of regulatory scrutiny.</w:t>
      </w:r>
    </w:p>
    <w:p>
      <w:pPr>
        <w:spacing w:after="0" w:line="79" w:lineRule="exact"/>
        <w:rPr>
          <w:sz w:val="20"/>
          <w:szCs w:val="20"/>
          <w:color w:val="auto"/>
        </w:rPr>
      </w:pPr>
    </w:p>
    <w:p>
      <w:pPr>
        <w:ind w:left="1660" w:hanging="249"/>
        <w:spacing w:after="0"/>
        <w:tabs>
          <w:tab w:leader="none" w:pos="16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Impact on Fervo Energy </w:t>
      </w:r>
      <w:r>
        <w:rPr>
          <w:rFonts w:ascii="Times New Roman" w:cs="Times New Roman" w:eastAsia="Times New Roman" w:hAnsi="Times New Roman"/>
          <w:sz w:val="14"/>
          <w:szCs w:val="14"/>
          <w:color w:val="auto"/>
        </w:rPr>
        <w:t>: The regulatory landscape presents both challenges and opportunities for Fervo</w:t>
      </w:r>
    </w:p>
    <w:p>
      <w:pPr>
        <w:sectPr>
          <w:pgSz w:w="11900" w:h="16904" w:orient="portrait"/>
          <w:cols w:equalWidth="0" w:num="1">
            <w:col w:w="9019"/>
          </w:cols>
          <w:pgMar w:left="1440" w:top="94" w:right="1440" w:bottom="0" w:gutter="0" w:footer="0" w:header="0"/>
        </w:sectPr>
      </w:pPr>
    </w:p>
    <w:bookmarkStart w:id="101" w:name="page102"/>
    <w:bookmarkEnd w:id="101"/>
    <w:p>
      <w:pPr>
        <w:ind w:left="1660" w:right="13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Energy. By leveraging innovative technology, maintaining strong environmental practices, and engaging with regulatory bodies, Fervo Energy is well-positioned to navigate the regulatory environment and advance its geothermal projects. The company’s proactive approach to regulatory compliance and environmental stewardship supports its mission to deliver reliable geothermal energy solutions.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People and Human Capital</w:t>
      </w:r>
    </w:p>
    <w:p>
      <w:pPr>
        <w:spacing w:after="0" w:line="144"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Fervo’s success is built by its people, whose expertise, dedication, and collaboration drive every milestone we achieve.</w:t>
      </w:r>
    </w:p>
    <w:p>
      <w:pPr>
        <w:spacing w:after="0" w:line="8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We embed our core values into our human capital strategy. We strive to “build things that last” by placing health, safety, and environmental stewardship at the center of our operations and decision-making. We seek to “innovate through collaboration,” encouraging open, cross functional dialogue, and the regular exchange of ideas with internal and external experts to solve complex problems. We emphasize the importance of “doing what we say we are going to do,” emphasizing transparency, accountability, and rigorous execution so that teams can plan effectively and deliver on commitments. And we aim to “stop and smell the roses,” fostering a sustainable work pace, community-building, and employee well-being so our people can do their best work over the long term. Together, these values provide a consistent framework for our human capital programs, including recruiting, development, and engagement while supporting a safe, inclusive, and performance-oriented workplace aligned with sustainable growth and long-term value creation.</w:t>
      </w:r>
    </w:p>
    <w:p>
      <w:pPr>
        <w:spacing w:after="0" w:line="103"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As of December 31, 2025 , we employed 199 full-time employees and part-time employees. None of our employees are represented by a labor union or are party to a collective bargaining agreement, and we have had no labor-related work stoppages. We believe that we have good relationships with our employees.</w:t>
      </w:r>
    </w:p>
    <w:p>
      <w:pPr>
        <w:spacing w:after="0" w:line="93"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believe that in order to be successful, each of our employees must believe that our mission is worth working for. As we scale rapidly, we are striving to build a workplace where every voice matters, innovation thrives, and integrity guides our actions. To achieve this, we invest in culture, talent, inclusion, and our relationships with the communities where we serve.</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Facilities</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corporate headquarters are located in Houston, Texas and consist of approximately 53,714 square feet. We also lease additional office space in Colorado and also lease offices in California, Nevada, and Utah. We believe that our corporate headquarters and other offices are adequate for our immediate needs and that we will be able to obtain additional or substitute space, as needed, on commercially reasonable terms.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4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We are currently involved in, and may in the future from time to time become involved in, legal proceedings, claims and investigations in the ordinary course of our business, including with our team members and providers.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members of our board of directors, including their ages as of the date of this prospectus. With respect to our directors, each biography includes information regarding the experience, qualifications, attributes, or skills that caused our board of directors to determine that such person should serve as a director of our company.</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2020" w:type="dxa"/>
            <w:vAlign w:val="bottom"/>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Age</w:t>
            </w:r>
          </w:p>
        </w:tc>
        <w:tc>
          <w:tcPr>
            <w:tcW w:w="4080" w:type="dxa"/>
            <w:vAlign w:val="bottom"/>
          </w:tcPr>
          <w:p>
            <w:pPr>
              <w:ind w:left="1780"/>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189"/>
        </w:trPr>
        <w:tc>
          <w:tcPr>
            <w:tcW w:w="19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80" w:type="dxa"/>
            <w:vAlign w:val="bottom"/>
            <w:tcBorders>
              <w:top w:val="single" w:sz="8" w:color="auto"/>
            </w:tcBorders>
            <w:shd w:val="clear" w:color="auto" w:fill="CCEEFF"/>
          </w:tcPr>
          <w:p>
            <w:pPr>
              <w:spacing w:after="0"/>
              <w:rPr>
                <w:sz w:val="16"/>
                <w:szCs w:val="16"/>
                <w:color w:val="auto"/>
              </w:rPr>
            </w:pPr>
          </w:p>
        </w:tc>
      </w:tr>
      <w:tr>
        <w:trPr>
          <w:trHeight w:val="19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Tim Latimer </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and Chair of the Board</w:t>
            </w:r>
          </w:p>
        </w:tc>
      </w:tr>
      <w:tr>
        <w:trPr>
          <w:trHeight w:val="210"/>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Jack Norbeck</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9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David Ulrey</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10"/>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Gustavo Torres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Senior Vice President, General Counsel &amp; Corporate Secretary</w:t>
            </w:r>
          </w:p>
        </w:tc>
      </w:tr>
      <w:tr>
        <w:trPr>
          <w:trHeight w:val="19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Sarah Jewett </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 Strategy</w:t>
            </w:r>
          </w:p>
        </w:tc>
      </w:tr>
      <w:tr>
        <w:trPr>
          <w:trHeight w:val="210"/>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Quinn Woodard Jr.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Vice President, Operations</w:t>
            </w:r>
          </w:p>
        </w:tc>
      </w:tr>
      <w:tr>
        <w:trPr>
          <w:trHeight w:val="19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Dawn Owens </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 Head of Development &amp; Commercial Markets</w:t>
            </w:r>
          </w:p>
        </w:tc>
      </w:tr>
      <w:tr>
        <w:trPr>
          <w:trHeight w:val="210"/>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Christian Gradl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Senior Vice President, GeoBlock Factory</w:t>
            </w:r>
          </w:p>
        </w:tc>
      </w:tr>
      <w:tr>
        <w:trPr>
          <w:trHeight w:val="19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10"/>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Tim Latimer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Executive Officer and Chair of the Board</w:t>
            </w:r>
          </w:p>
        </w:tc>
      </w:tr>
      <w:tr>
        <w:trPr>
          <w:trHeight w:val="204"/>
        </w:trPr>
        <w:tc>
          <w:tcPr>
            <w:tcW w:w="202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Margaret C. Whitman*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³</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Lead Independent Director</w:t>
            </w:r>
          </w:p>
        </w:tc>
      </w:tr>
      <w:tr>
        <w:trPr>
          <w:trHeight w:val="204"/>
        </w:trPr>
        <w:tc>
          <w:tcPr>
            <w:tcW w:w="2020" w:type="dxa"/>
            <w:vAlign w:val="bottom"/>
            <w:gridSpan w:val="2"/>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Robert Keehan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³</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40" w:type="dxa"/>
            <w:vAlign w:val="bottom"/>
            <w:shd w:val="clear" w:color="auto" w:fill="CCEEFF"/>
          </w:tcPr>
          <w:p>
            <w:pPr>
              <w:spacing w:after="0"/>
              <w:rPr>
                <w:sz w:val="17"/>
                <w:szCs w:val="17"/>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 and Chair of the Audit Committee</w:t>
            </w:r>
          </w:p>
        </w:tc>
      </w:tr>
      <w:tr>
        <w:trPr>
          <w:trHeight w:val="140"/>
        </w:trPr>
        <w:tc>
          <w:tcPr>
            <w:tcW w:w="20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auto"/>
              </w:rPr>
              <w:t>Jessica Uhl</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¹</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²</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B4B4B4"/>
              </w:rPr>
              <w:t>.............................</w:t>
            </w:r>
          </w:p>
        </w:tc>
        <w:tc>
          <w:tcPr>
            <w:tcW w:w="5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58</w:t>
            </w:r>
          </w:p>
        </w:tc>
        <w:tc>
          <w:tcPr>
            <w:tcW w:w="40" w:type="dxa"/>
            <w:vAlign w:val="bottom"/>
          </w:tcPr>
          <w:p>
            <w:pPr>
              <w:spacing w:after="0"/>
              <w:rPr>
                <w:sz w:val="12"/>
                <w:szCs w:val="12"/>
                <w:color w:val="auto"/>
              </w:rPr>
            </w:pPr>
          </w:p>
        </w:tc>
        <w:tc>
          <w:tcPr>
            <w:tcW w:w="4080" w:type="dxa"/>
            <w:vAlign w:val="bottom"/>
          </w:tcPr>
          <w:p>
            <w:pPr>
              <w:ind w:left="40"/>
              <w:spacing w:after="0" w:line="140" w:lineRule="exact"/>
              <w:rPr>
                <w:sz w:val="20"/>
                <w:szCs w:val="20"/>
                <w:color w:val="auto"/>
              </w:rPr>
            </w:pPr>
            <w:r>
              <w:rPr>
                <w:rFonts w:ascii="Times New Roman" w:cs="Times New Roman" w:eastAsia="Times New Roman" w:hAnsi="Times New Roman"/>
                <w:sz w:val="14"/>
                <w:szCs w:val="14"/>
                <w:color w:val="auto"/>
              </w:rPr>
              <w:t>Director and Chair of the Nominating and Corporate Governance</w:t>
            </w: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Committee</w:t>
            </w:r>
          </w:p>
        </w:tc>
      </w:tr>
      <w:tr>
        <w:trPr>
          <w:trHeight w:val="208"/>
        </w:trPr>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Anne Cleary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³</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40" w:type="dxa"/>
            <w:vAlign w:val="bottom"/>
            <w:shd w:val="clear" w:color="auto" w:fill="CCEEFF"/>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 and Chair of the Compensation Committee</w:t>
            </w:r>
          </w:p>
        </w:tc>
      </w:tr>
      <w:tr>
        <w:trPr>
          <w:trHeight w:val="204"/>
        </w:trPr>
        <w:tc>
          <w:tcPr>
            <w:tcW w:w="202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Robert (Trey) Lowe III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¹</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40" w:type="dxa"/>
            <w:vAlign w:val="bottom"/>
          </w:tcPr>
          <w:p>
            <w:pPr>
              <w:spacing w:after="0"/>
              <w:rPr>
                <w:sz w:val="17"/>
                <w:szCs w:val="17"/>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204"/>
        </w:trPr>
        <w:tc>
          <w:tcPr>
            <w:tcW w:w="2020" w:type="dxa"/>
            <w:vAlign w:val="bottom"/>
            <w:gridSpan w:val="2"/>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Ion Yadigaroglu</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¹</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shd w:val="clear" w:color="auto" w:fill="CCEEFF"/>
          </w:tcPr>
          <w:p>
            <w:pPr>
              <w:spacing w:after="0"/>
              <w:rPr>
                <w:sz w:val="17"/>
                <w:szCs w:val="17"/>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hanging="267"/>
        <w:spacing w:after="0"/>
        <w:tabs>
          <w:tab w:leader="none" w:pos="1420" w:val="left"/>
        </w:tabs>
        <w:numPr>
          <w:ilvl w:val="0"/>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Lead independent director.</w:t>
      </w:r>
    </w:p>
    <w:p>
      <w:pPr>
        <w:spacing w:after="0" w:line="10" w:lineRule="exact"/>
        <w:rPr>
          <w:sz w:val="20"/>
          <w:szCs w:val="20"/>
          <w:color w:val="auto"/>
        </w:rPr>
      </w:pPr>
    </w:p>
    <w:p>
      <w:pPr>
        <w:ind w:left="1420" w:hanging="267"/>
        <w:spacing w:after="0"/>
        <w:tabs>
          <w:tab w:leader="none" w:pos="142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Nominating and Corporate Governance Committee.</w:t>
      </w:r>
    </w:p>
    <w:p>
      <w:pPr>
        <w:spacing w:after="0" w:line="13" w:lineRule="exact"/>
        <w:rPr>
          <w:rFonts w:ascii="Times New Roman" w:cs="Times New Roman" w:eastAsia="Times New Roman" w:hAnsi="Times New Roman"/>
          <w:sz w:val="11"/>
          <w:szCs w:val="11"/>
          <w:color w:val="auto"/>
        </w:rPr>
      </w:pPr>
    </w:p>
    <w:p>
      <w:pPr>
        <w:ind w:left="1420" w:hanging="267"/>
        <w:spacing w:after="0"/>
        <w:tabs>
          <w:tab w:leader="none" w:pos="142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Audit Committee.</w:t>
      </w:r>
    </w:p>
    <w:p>
      <w:pPr>
        <w:spacing w:after="0" w:line="13" w:lineRule="exact"/>
        <w:rPr>
          <w:rFonts w:ascii="Times New Roman" w:cs="Times New Roman" w:eastAsia="Times New Roman" w:hAnsi="Times New Roman"/>
          <w:sz w:val="11"/>
          <w:szCs w:val="11"/>
          <w:color w:val="auto"/>
        </w:rPr>
      </w:pPr>
    </w:p>
    <w:p>
      <w:pPr>
        <w:ind w:left="1420" w:hanging="267"/>
        <w:spacing w:after="0"/>
        <w:tabs>
          <w:tab w:leader="none" w:pos="142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Compensation Committee.</w:t>
      </w:r>
    </w:p>
    <w:p>
      <w:pPr>
        <w:sectPr>
          <w:pgSz w:w="11900" w:h="16838" w:orient="portrait"/>
          <w:cols w:equalWidth="0" w:num="1">
            <w:col w:w="9019"/>
          </w:cols>
          <w:pgMar w:left="1440" w:top="146" w:right="1440" w:bottom="0" w:gutter="0" w:footer="0" w:header="0"/>
        </w:sectPr>
      </w:pPr>
    </w:p>
    <w:bookmarkStart w:id="102" w:name="page103"/>
    <w:bookmarkEnd w:id="102"/>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b w:val="1"/>
          <w:bCs w:val="1"/>
          <w:color w:val="auto"/>
        </w:rPr>
        <w:t>Executive Officers &amp; Directors</w:t>
      </w:r>
    </w:p>
    <w:p>
      <w:pPr>
        <w:spacing w:after="0" w:line="140"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Tim Latimer </w:t>
      </w:r>
      <w:r>
        <w:rPr>
          <w:rFonts w:ascii="Times New Roman" w:cs="Times New Roman" w:eastAsia="Times New Roman" w:hAnsi="Times New Roman"/>
          <w:sz w:val="14"/>
          <w:szCs w:val="14"/>
          <w:color w:val="auto"/>
        </w:rPr>
        <w:t>has served as our Chief Executive Officer and a member of our board of directors since 2018.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founding Fervo Energy, Mr. Latimer worked as a Drilling Engineer at BHP Billiton, and as a Consultant with Biota Technology prior to that. Mr. Latimer was also previously a fellow at Activate and the Clean Energy Leadership Institute. Mr. Latimer holds a Bachelor of Science degree in Mechanical Engineering from the University of Tulsa, a Master of Business Administration from Stanford University Graduate School of Business and Master of Science in the Emmet Interdisciplinary Program in Environment and Resources from Stanford University. Mr. Latimer was honored as an Innovator Under 35 by MIT Technology Review in 2024 and a Presidential Leadership Scholar in 2022 and was granted the Geothermal Pioneer Award by Geothermal Rising in 2023. We believe Mr. Latimer’s visionary leadership, innovative thinking, and deep commitment to sustainable energy solutions, as well as his extensive knowledge and experience in geothermal energy development and renewable energy markets, make him particularly qualified to serve as a member of our board of directors.</w:t>
      </w:r>
    </w:p>
    <w:p>
      <w:pPr>
        <w:spacing w:after="0" w:line="101" w:lineRule="exact"/>
        <w:rPr>
          <w:sz w:val="20"/>
          <w:szCs w:val="20"/>
          <w:color w:val="auto"/>
        </w:rPr>
      </w:pPr>
    </w:p>
    <w:p>
      <w:pPr>
        <w:ind w:left="1160" w:right="1239" w:firstLine="258"/>
        <w:spacing w:after="0" w:line="264" w:lineRule="auto"/>
        <w:rPr>
          <w:sz w:val="20"/>
          <w:szCs w:val="20"/>
          <w:color w:val="auto"/>
        </w:rPr>
      </w:pPr>
      <w:r>
        <w:rPr>
          <w:rFonts w:ascii="Times New Roman" w:cs="Times New Roman" w:eastAsia="Times New Roman" w:hAnsi="Times New Roman"/>
          <w:sz w:val="14"/>
          <w:szCs w:val="14"/>
          <w:b w:val="1"/>
          <w:bCs w:val="1"/>
          <w:color w:val="auto"/>
        </w:rPr>
        <w:t>Jack Norbeck</w:t>
      </w:r>
      <w:r>
        <w:rPr>
          <w:rFonts w:ascii="Times New Roman" w:cs="Times New Roman" w:eastAsia="Times New Roman" w:hAnsi="Times New Roman"/>
          <w:sz w:val="14"/>
          <w:szCs w:val="14"/>
          <w:color w:val="auto"/>
        </w:rPr>
        <w:t>, PhD., has served as our Chief Technology Officer since 2017. He also served as a member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of directors from 2019 until 2026. Prior to founding Fervo Energy, Dr. Norbeck held various expert research and engineering roles in the energy and infrastructure sectors, including Fellow at Activate, Research Assistant at the Earth Sciences Division of the Lawrence Berkeley National Laboratory, Mendenhall Postdoctoral Fellow and Research Petroleum Engineer at the Earthquake Science Center of the U.S. Geological Survey, and Computational Geophysicist at Idaho National Laboratory. Dr. Norbeck holds a Bachelor of Science degree in Civil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spacing w:after="0" w:line="292" w:lineRule="auto"/>
        <w:rPr>
          <w:sz w:val="20"/>
          <w:szCs w:val="20"/>
          <w:color w:val="auto"/>
        </w:rPr>
      </w:pPr>
      <w:r>
        <w:rPr>
          <w:rFonts w:ascii="Times New Roman" w:cs="Times New Roman" w:eastAsia="Times New Roman" w:hAnsi="Times New Roman"/>
          <w:sz w:val="14"/>
          <w:szCs w:val="14"/>
          <w:color w:val="auto"/>
        </w:rPr>
        <w:t>Engineering from the University of Colorado at Boulder, a Master of Science in Civil Engineering from the Colorado School of Mines, and a Doctor of Philosophy in Energy Resources Engineering from Stanford University.</w:t>
      </w:r>
    </w:p>
    <w:p>
      <w:pPr>
        <w:spacing w:after="0" w:line="79"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David Ulrey </w:t>
      </w:r>
      <w:r>
        <w:rPr>
          <w:rFonts w:ascii="Times New Roman" w:cs="Times New Roman" w:eastAsia="Times New Roman" w:hAnsi="Times New Roman"/>
          <w:sz w:val="14"/>
          <w:szCs w:val="14"/>
          <w:color w:val="auto"/>
        </w:rPr>
        <w:t>has served as Chief Financial Officer of Fervo Energy since 2021. Prior to joining Fervo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 Ulrey held finance and leadership positions in the energy and infrastructure sectors, including at NOV where he held positions as Director of NOV Renewables and Director of Corporate Management and at Simmons &amp; Company, Energy Specialists of Piper Jaffray where he held a position as an Investment Banking Associate. He began his career as an Officer in the U.S. Army. Mr. Ulrey holds a Bachelor of Science in Economics from the U.S. Military Academy at West Point and a Master of Business Administration from the Harvard School of Business.</w:t>
      </w:r>
    </w:p>
    <w:p>
      <w:pPr>
        <w:spacing w:after="0" w:line="97"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Gustavo Torres </w:t>
      </w:r>
      <w:r>
        <w:rPr>
          <w:rFonts w:ascii="Times New Roman" w:cs="Times New Roman" w:eastAsia="Times New Roman" w:hAnsi="Times New Roman"/>
          <w:sz w:val="14"/>
          <w:szCs w:val="14"/>
          <w:color w:val="auto"/>
        </w:rPr>
        <w:t>has served as Senior Vice President, General Counsel &amp; Corporate Secretary of Fervo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2023. Mr. Torres served as General Counsel at Prime Natural Resources for over ten years where his responsibilities included overseeing the legal, risk, compliance, and corporate governance functions at Prime Natural Resources and its portfolio companies, including FlexSteel Pipeline Technologies. He began his career as an Associate at Akin Gump Straus Hauer &amp; Feld and DLA Piper. Mr. Torres holds a Bachelor of Arts in Economics from Grinnell College and a Juris Doctor from the University of Texas School of Law.</w:t>
      </w:r>
    </w:p>
    <w:p>
      <w:pPr>
        <w:spacing w:after="0" w:line="97"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Sarah Jewett </w:t>
      </w:r>
      <w:r>
        <w:rPr>
          <w:rFonts w:ascii="Times New Roman" w:cs="Times New Roman" w:eastAsia="Times New Roman" w:hAnsi="Times New Roman"/>
          <w:sz w:val="14"/>
          <w:szCs w:val="14"/>
          <w:color w:val="auto"/>
        </w:rPr>
        <w:t>serves as Senior Vice President, Strategy at Fervo Energy. Since 2020, Ms. Jewett has 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Fervo’s Strategy department, managing the integration of policy, communications, strategy, and people operations to drive Fervo’s growth. Prior to Fervo, she held leadership roles in corporate development at Select Energy Services and worked as an engineer at Schlumberger. Ms. Jewett earned a Bachelor of Arts in Engineering Sciences and Studio Art and a Bachelor of Engineering in Mechanical Engineering from Dartmouth College and a Master of Business Administration from the Harvard School of Business.</w:t>
      </w:r>
    </w:p>
    <w:p>
      <w:pPr>
        <w:spacing w:after="0" w:line="97" w:lineRule="exact"/>
        <w:rPr>
          <w:sz w:val="20"/>
          <w:szCs w:val="20"/>
          <w:color w:val="auto"/>
        </w:rPr>
      </w:pPr>
    </w:p>
    <w:p>
      <w:pPr>
        <w:ind w:left="1160" w:right="1279" w:firstLine="258"/>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Quinn Woodard Jr. </w:t>
      </w:r>
      <w:r>
        <w:rPr>
          <w:rFonts w:ascii="Times New Roman" w:cs="Times New Roman" w:eastAsia="Times New Roman" w:hAnsi="Times New Roman"/>
          <w:sz w:val="14"/>
          <w:szCs w:val="14"/>
          <w:color w:val="auto"/>
        </w:rPr>
        <w:t>serves as Fervo’s Vice President, Operations. Prior to his promotion to lead operations,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 Woodard led the engineering, construction, and delivery of Fervo’s power facilities. Prior to joining Fervo, Mr. Woodard held engineering and supervisory roles at Chevron for nine years. Mr. Woodard holds a Bachelor of Sciences in Electrical Engineering from the University of Tulsa and a Master of Business Administration from Indiana University’s Kelley School of Business.</w:t>
      </w:r>
    </w:p>
    <w:p>
      <w:pPr>
        <w:spacing w:after="0" w:line="96" w:lineRule="exact"/>
        <w:rPr>
          <w:sz w:val="20"/>
          <w:szCs w:val="20"/>
          <w:color w:val="auto"/>
        </w:rPr>
      </w:pPr>
    </w:p>
    <w:p>
      <w:pPr>
        <w:ind w:left="1160" w:right="1279" w:firstLine="258"/>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Dawn Owens </w:t>
      </w:r>
      <w:r>
        <w:rPr>
          <w:rFonts w:ascii="Times New Roman" w:cs="Times New Roman" w:eastAsia="Times New Roman" w:hAnsi="Times New Roman"/>
          <w:sz w:val="14"/>
          <w:szCs w:val="14"/>
          <w:color w:val="auto"/>
        </w:rPr>
        <w:t>has served as Senior Vice President, Head of Development &amp; Commercial Markets at Fervo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since 2020. Ms. Owens previously held roles in management and business development at various energy companies, including East Bay Community Energy, Experis, NRG Energy, and GenOn Energy. Ms. Owens holds a Bachelor of Arts in Economics from New Mexico State University and a Master of Business Administration from the University of San Francisco’s Masagung Business School.</w:t>
      </w:r>
    </w:p>
    <w:p>
      <w:pPr>
        <w:spacing w:after="0" w:line="96"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Christian Gradl </w:t>
      </w:r>
      <w:r>
        <w:rPr>
          <w:rFonts w:ascii="Times New Roman" w:cs="Times New Roman" w:eastAsia="Times New Roman" w:hAnsi="Times New Roman"/>
          <w:sz w:val="14"/>
          <w:szCs w:val="14"/>
          <w:color w:val="auto"/>
        </w:rPr>
        <w:t>is Fervo Energy’s Senior Vice President, GeoBlock Factory, where he leads all aspects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engineering, construction, and delivery for Fervo’s modular wellfield and power facilities. Mr. Gradl joined Fervo Energy in 2019 and prior to that was a member of Fervo’s Technical Advisory Board since 2018. Before joining Fervo, he had an extensive career in well engineering and operations management for Hess Corporation and BP. In the Bakken Shale Mr. Gradl managed a $400MM annual budget and pioneered many innovative completions practices. He further led shale appraisal activities in the Utica shale and for several international shale prospects. Christian holds a Bachelor of Science and a Master of Science in Petroleum Engineering from the University of Leoben in Austria and an MBA from the University of Texas at Austin.</w:t>
      </w:r>
    </w:p>
    <w:p>
      <w:pPr>
        <w:spacing w:after="0" w:line="103"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Margaret C. Whitman </w:t>
      </w:r>
      <w:r>
        <w:rPr>
          <w:rFonts w:ascii="Times New Roman" w:cs="Times New Roman" w:eastAsia="Times New Roman" w:hAnsi="Times New Roman"/>
          <w:sz w:val="14"/>
          <w:szCs w:val="14"/>
          <w:color w:val="auto"/>
        </w:rPr>
        <w:t>has served as a non-executive independent member and the Lead Independent Director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our board of directors since 2026. Ms. Whitman is an experienced technology and business executive who has served as chief executive officer of three major companies. She was confirmed by unanimous Senate vote to serve as the eighteenth United States Ambassador to Kenya from July 2022 to November 2024, leading the tenth largest U.S. embassy in the world. Prior to that, she was Co-Founder, President and Chief Executive Officer of Quibi Holdings, LLC, a mobile media company, from 2018 to 2021. Ms. Whitman served as Chief Executive Officer of Hewlett Packard Enterprise Company from 2015 to 2018 and as President and Chief Executive Officer of Hewlett-Packard Company from 2011 to 2015, where she led a major business turnaround of an iconic Fortune 10 technology company with $125 billion in revenue and 325,000 employees. She also served as President and Chief Executive Officer of eBay Inc. from 1998 to 2008. Ms. Whitman currently serves on the boards of directors of CoreWeave,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ectPr>
          <w:pgSz w:w="11900" w:h="16864" w:orient="portrait"/>
          <w:cols w:equalWidth="0" w:num="1">
            <w:col w:w="9019"/>
          </w:cols>
          <w:pgMar w:left="144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64" w:orient="portrait"/>
          <w:cols w:equalWidth="0" w:num="1">
            <w:col w:w="9019"/>
          </w:cols>
          <w:pgMar w:left="1440" w:top="176" w:right="1440" w:bottom="0" w:gutter="0" w:footer="0" w:header="0"/>
          <w:type w:val="continuous"/>
        </w:sectPr>
      </w:pPr>
    </w:p>
    <w:bookmarkStart w:id="103" w:name="page104"/>
    <w:bookmarkEnd w:id="103"/>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Inc. and Motive Technologies and has previously served on the boards of The Procter &amp; Gamble Company and General Motors Company. She also serves on the boards of The Nature Conservancy, Bridgespan, the San Francisco Downtown Development Corporation, and the Partnership for San Francisco. She holds an A.B. in Economics from Princeton University and an M.B.A. from Harvard Business School. Ms. Whitman has been named to Forbes’ list of the World’s 100 Most Powerful Women and Fortune’s list of the 50 Most Powerful Women in Business on multiple occasions. We believe Ms. Whitman is well-qualified to serve as a member of our board of directors given her extensive experience scaling and leading major public companies, her deep expertise in technology and operations, and her broad governance experience across public company boards.</w:t>
      </w:r>
    </w:p>
    <w:p>
      <w:pPr>
        <w:spacing w:after="0" w:line="101"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Robert Keehan </w:t>
      </w:r>
      <w:r>
        <w:rPr>
          <w:rFonts w:ascii="Times New Roman" w:cs="Times New Roman" w:eastAsia="Times New Roman" w:hAnsi="Times New Roman"/>
          <w:sz w:val="14"/>
          <w:szCs w:val="14"/>
          <w:color w:val="auto"/>
        </w:rPr>
        <w:t>has served as a non-executive independent member of our board of directors and Chair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Audit Committee since 2026. Mr. Keehan is a seasoned energy sector audit and assurance leader with 37 years of experience at PricewaterhouseCoopers LLP, including 28 years as a partner. He served in a leadership role in PwC’s Global firm with responsibilities that addressed strategy, growth, risk management, technical matters, business models, and technology. Throughout his career, Mr. Keehan served as the lead audit partner for multiple Fortune</w:t>
      </w:r>
    </w:p>
    <w:p>
      <w:pPr>
        <w:spacing w:after="0" w:line="3"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250 energy, utility, and renewables companies and managed complex transactions exceeding $50 billion, including acquisitions, carve-outs, joint ventures, IPOs, and spin-offs. He has collaborated with industry bodies and regulators, including the Securities and Exchange Commission, the Federal Energy Regulatory Commission, and the Financial Accounting Standards Board. He is a member of the National Association of Corporate Directors, and he completed Northwestern University’s Kellogg School of Management Corporate Governance course in 2025. He holds a B.B.A. in Accounting from Texas A&amp;M University. We believe Mr. Keehan is well-qualified to serve as a member of our board of directors given his extensive audit and assurance leadership in the energy sector, his expertise in financial reporting, risk management, and ESG, and his deep familiarity with corporate governance matters.</w:t>
      </w:r>
    </w:p>
    <w:p>
      <w:pPr>
        <w:spacing w:after="0" w:line="10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Jessica Uhl </w:t>
      </w:r>
      <w:r>
        <w:rPr>
          <w:rFonts w:ascii="Times New Roman" w:cs="Times New Roman" w:eastAsia="Times New Roman" w:hAnsi="Times New Roman"/>
          <w:sz w:val="14"/>
          <w:szCs w:val="14"/>
          <w:color w:val="auto"/>
        </w:rPr>
        <w:t>has served as a non-executive independent member and Chair of the Nominating and Corporate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Governance Committee of our board of directors since 2026. Ms. Uhl is an experienced global energy executive and director with 25 years of energy sector experience. She served as Chief Financial Officer and Executive Board Director of Shell plc from 2017 to 2022, where she was responsible for a 10,000-person finance organization, oversaw IT and data operations, and partnered with the CEO to design and deliver Shell’s corporate-wide strategy. She served as President of GE Vernova from 2024 to 2025. Ms. Uhl previously served as a non-executive board member of General Electric, where she was a member of the Audit Committee, and Goldman Sachs, where she was a member of the Audit, Risk, and Governance Committees. She currently serves as a Trustee and Audit Committee Chair of RMI and on the boards of Mission Possible Partnership and OpenMinds and is an advisor to the Columbia Center on Global Energy Policy. She holds a B.A. in Political Economy from the University of California, Berkeley, and an M.B.A. from INSEAD. We believe Ms. Uhl is well-qualified to serve as a member of our board of directors given her extensive executive and board leadership experience at major global energy companies, her deep expertise in financial management and corporate governance, and her strong background in ESG and climate strategy.</w:t>
      </w:r>
    </w:p>
    <w:p>
      <w:pPr>
        <w:spacing w:after="0" w:line="104"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Anne Cleary </w:t>
      </w:r>
      <w:r>
        <w:rPr>
          <w:rFonts w:ascii="Times New Roman" w:cs="Times New Roman" w:eastAsia="Times New Roman" w:hAnsi="Times New Roman"/>
          <w:sz w:val="14"/>
          <w:szCs w:val="14"/>
          <w:color w:val="auto"/>
        </w:rPr>
        <w:t>has served as a non-executive independent member of our board of directors since 2023. Going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forward, she will serve as the Chair of the Compensation Committee. Ms. Cleary is an experienced power sector executive and director who has held roles such as Chief Risk Officer and Chief Integration Officer. She served as Audit and Risk Committee Chair for several private power companies with assets exceeding $2 billion and has overseen Scope 1 and 2 reporting and GRESB reporting as Audit and Risk Committee Chair for a large private power generator. Ms. Cleary also served on the Compensation and Nomination &amp; Corporate Governance Committees of Ascendant Group, a public energy services company, from 2018 to 2020. She has served as a for-profit board director for seven years in various capacities and is a member of NACD and the Private Directors Association. She holds a Bachelor of Electrical Engineering and a Master of Business Administration from Auburn University. Ms. Cleary was honored as the Outstanding Auburn Electrical Engineering Alumna in 2010 and the Distinguished Auburn Engineer in 2013. We believe Ms. Cleary is well-qualified to serve as a member of our board of directors given her extensive executive and board leadership experience in the power sector and her expertise in risk management and corporate governance.</w:t>
      </w:r>
    </w:p>
    <w:p>
      <w:pPr>
        <w:spacing w:after="0" w:line="104" w:lineRule="exact"/>
        <w:rPr>
          <w:sz w:val="20"/>
          <w:szCs w:val="20"/>
          <w:color w:val="auto"/>
        </w:rPr>
      </w:pPr>
    </w:p>
    <w:p>
      <w:pPr>
        <w:ind w:left="1160" w:right="1219" w:firstLine="258"/>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Robert (Trey) Lowe III </w:t>
      </w:r>
      <w:r>
        <w:rPr>
          <w:rFonts w:ascii="Times New Roman" w:cs="Times New Roman" w:eastAsia="Times New Roman" w:hAnsi="Times New Roman"/>
          <w:sz w:val="14"/>
          <w:szCs w:val="14"/>
          <w:color w:val="auto"/>
        </w:rPr>
        <w:t>has served as a non-executive member of our board of directors since 2026. 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served as a board observer on behalf of Devon Energy Corporation. Mr. Lowe is Executive Vice President and Chief Technology Officer of Devon Energy Corporation, a leading oil and natural gas exploration and production company, a position he has held since January 2025. Mr. Lowe joined Devon in 2005 and has held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various technical and leadership positions with responsibilities spanning U.S. and international operations. He previously served as Vice President and Chief Technology Officer from 2022 to February 2025, and as Vice President of Technology from 2019 to 2022. In his current role, Mr. Lowe is responsible for Devon’s technology, digital security, project management, and energy ventures functions. Before joining Devon, Mr. Lowe worked for Schlumberger in technical roles in the U.S. and Norway. He currently serves on the board of Altira Group Fund VI and VII, and is a past distinguished lecturer for the Society of Petroleum Engineers. Mr. Lowe holds a B.S. in Chemical Engineering from Oklahoma State University. We believe Mr. Lowe is well-qualified to serve as a member of our board of directors given his extensive technology leadership experience in the energy sector, his deep expertise in digital transformation and project management, and his strong background in innovation and energy ventures.</w:t>
      </w:r>
    </w:p>
    <w:p>
      <w:pPr>
        <w:spacing w:after="0" w:line="276"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Ion Yadigaroglu </w:t>
      </w:r>
      <w:r>
        <w:rPr>
          <w:rFonts w:ascii="Times New Roman" w:cs="Times New Roman" w:eastAsia="Times New Roman" w:hAnsi="Times New Roman"/>
          <w:sz w:val="14"/>
          <w:szCs w:val="14"/>
          <w:color w:val="auto"/>
        </w:rPr>
        <w:t>has served as a non-executive member of our board of directors since 2021. Mr. Yadigaroglu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the Managing Partner of Capricorn Investment Group, a long-term investment firm focused on sustainable and climate-related opportunities, and a Partner of Capricorn’s Technology Impact Fund. He currently serves on the boards of several private companies, including Erthos, Twelve, and Seurat, and has served on the boards of the Environmental Defense Fund since 2023. Through Capricorn and its affiliated entities, Mr. Yadigaroglu has extensive experience in capital allocation, corporate financing, and strategic planning across the energy and sustainability sectors. His skills matrix reflects significant experience in international business, capital allocation and corporate financing, strategic planning, ESG and climate risks, and industry experience. Mr. Yadigaroglu holds a Ph.D. in Astrophysics from Stanford University. We believe Mr. Yadigaroglu is well-qualified to serve as a member of our board of directors given his deep investment expertise in the energy and sustainability sectors, his extensive board experience across climate-focused technology companies, and his strong background in capital allocation and strategic planning.</w:t>
      </w: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ectPr>
          <w:pgSz w:w="11900" w:h="16838" w:orient="portrait"/>
          <w:cols w:equalWidth="0" w:num="1">
            <w:col w:w="9019"/>
          </w:cols>
          <w:pgMar w:left="1440" w:top="769" w:right="1440" w:bottom="0" w:gutter="0" w:footer="0" w:header="0"/>
        </w:sectPr>
      </w:pPr>
    </w:p>
    <w:bookmarkStart w:id="104" w:name="page105"/>
    <w:bookmarkEnd w:id="104"/>
    <w:p>
      <w:pPr>
        <w:ind w:left="1420"/>
        <w:spacing w:after="0"/>
        <w:rPr>
          <w:sz w:val="20"/>
          <w:szCs w:val="20"/>
          <w:color w:val="auto"/>
        </w:rPr>
      </w:pPr>
      <w:r>
        <w:rPr>
          <w:rFonts w:ascii="Times New Roman" w:cs="Times New Roman" w:eastAsia="Times New Roman" w:hAnsi="Times New Roman"/>
          <w:sz w:val="14"/>
          <w:szCs w:val="14"/>
          <w:color w:val="auto"/>
        </w:rPr>
        <w:t>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Composition of our Board of Directors</w:t>
      </w:r>
    </w:p>
    <w:p>
      <w:pPr>
        <w:spacing w:after="0" w:line="14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Our board of directors currently consists of seven directors. Our Amended Charter and Amended Bylaws will provide that our board of directors may consist of up to seven directors and that our board of directors will be divided into three classes, as nearly equal in number as possible, with the directors in each class serving for a three-year term, and one class being elected each year by our stockholders.</w:t>
      </w:r>
    </w:p>
    <w:p>
      <w:pPr>
        <w:spacing w:after="0" w:line="9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Classified Board of Directors</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Our Amended Bylaws will provide that, upon the completion of this offering, our board of directors will be divided into three classes with staggered three-year terms.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will continue until the election and qualification of his or her successor, or his or her earlier death, resignation or removal for cause. Our directors will be divided among the three classes as follows:</w:t>
      </w:r>
    </w:p>
    <w:p>
      <w:pPr>
        <w:spacing w:after="0" w:line="101" w:lineRule="exact"/>
        <w:rPr>
          <w:sz w:val="20"/>
          <w:szCs w:val="20"/>
          <w:color w:val="auto"/>
        </w:rPr>
      </w:pPr>
    </w:p>
    <w:p>
      <w:pPr>
        <w:ind w:left="1660" w:right="1359" w:hanging="249"/>
        <w:spacing w:after="0" w:line="292" w:lineRule="auto"/>
        <w:tabs>
          <w:tab w:leader="none" w:pos="16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 directors, whose initial term will expire at our first annual meeting of stockholders following this offering, will consist of Trey Lowe and Anne Cleary;</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 directors, whose initial term will expire at our second annual meeting of stockholders following this offering, will consist of Margaret C. Whitman and Robert Keehan;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39" w:hanging="249"/>
        <w:spacing w:after="0" w:line="292" w:lineRule="auto"/>
        <w:tabs>
          <w:tab w:leader="none" w:pos="16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III directors, whose initial term will expire at our third annual meeting of stockholders following this offering, will consist of Tim Latimer, Ion Yadigaroglu and Jessica Uhl.</w:t>
      </w:r>
    </w:p>
    <w:p>
      <w:pPr>
        <w:spacing w:after="0" w:line="8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Our Amended Charter and Amended Bylaws will provide that only our board of directors may fill vacancies on our board. We expect that any additional directorships resulting from an increase in the number of directors will be distributed among the three classes so that, as nearly as possible, each class will consist of one-third of the total number of directors.</w:t>
      </w:r>
    </w:p>
    <w:p>
      <w:pPr>
        <w:spacing w:after="0" w:line="9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classification of our board of directors may have the effect of delaying or preventing changes in our control or management. See the section titled “Description of Capital Stock—Anti-Takeover Effects of Provisions of our Amended Charter and Amended Bylaws—Amended Charter and Amended Bylaw Provisions” for additional information.</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4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Prior to the consummation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 responsibilities. Our board of directors has affirmatively determined that Mr. Keehan, Ms. Cleary, Ms. Uhl, Mr. Yadigaroglu, and Ms. Whitman are each an “independent director,” as defined under the rules of the NASDAQ. Mr. Lowe is affiliated with Devon Energy Corporation, a holder of greater than 10% of our common stock. As such, our board of directors have determined that Mr. Lowe is not independent pursuant to the listing rules of NASDAQ.</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Lead Independent Director</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Our board of directors will adopt, effective prior to the completion of this offering, corporate governance guidelines that provide that one of our independent directors will serve as our lead independent director. Our board of directors has appointed Margaret C. Whitman to serve as our lead independent director. As lead independent director, Ms. Whitman will preside over periodic meetings of our independent directors, serve as a liaison between the chair of our board of directors and the independent directors, and perform such additional duties as our board of directors may otherwise determine and delegate.</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142" w:lineRule="exact"/>
        <w:rPr>
          <w:sz w:val="20"/>
          <w:szCs w:val="20"/>
          <w:color w:val="auto"/>
        </w:rPr>
      </w:pPr>
    </w:p>
    <w:p>
      <w:pPr>
        <w:jc w:val="both"/>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Our board of directors directs the management of our business and affairs, as provided by Delaware law, and conducts its business through meetings of the board of directors and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audit committee will be responsible for, among other things:</w:t>
      </w:r>
    </w:p>
    <w:p>
      <w:pPr>
        <w:spacing w:after="0" w:line="140" w:lineRule="exact"/>
        <w:rPr>
          <w:sz w:val="20"/>
          <w:szCs w:val="20"/>
          <w:color w:val="auto"/>
        </w:rPr>
      </w:pPr>
    </w:p>
    <w:p>
      <w:pPr>
        <w:ind w:left="1660" w:hanging="249"/>
        <w:spacing w:after="0"/>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compensating, retaining, and overseeing our independent registered public accounting firm;</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our independent registered public accounting firm their independence from management;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the scope and results of their audit;</w:t>
      </w:r>
    </w:p>
    <w:p>
      <w:pPr>
        <w:spacing w:after="0" w:line="13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all audit and permissible non-audit services to be performed by our independent registered public accounting firm;</w:t>
      </w:r>
    </w:p>
    <w:p>
      <w:pPr>
        <w:spacing w:after="0" w:line="80"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financial reporting process and discussing with management and our independent registered public accounting firm the interim and annual financial statements that we file with the SEC;</w:t>
      </w:r>
    </w:p>
    <w:p>
      <w:pPr>
        <w:spacing w:after="0" w:line="80"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monitoring our accounting principles, accounting policies, financial and accounting controls and compliance with legal and regulatory requirements;</w:t>
      </w:r>
    </w:p>
    <w:p>
      <w:pPr>
        <w:sectPr>
          <w:pgSz w:w="11900" w:h="16838" w:orient="portrait"/>
          <w:cols w:equalWidth="0" w:num="1">
            <w:col w:w="9019"/>
          </w:cols>
          <w:pgMar w:left="1440" w:top="94" w:right="1440" w:bottom="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659" w:hanging="249"/>
        <w:spacing w:after="0" w:line="292" w:lineRule="auto"/>
        <w:tabs>
          <w:tab w:leader="none" w:pos="16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our policies with respect to risk assessment and risk management, including oversight of financial, information technology, cybersecurity and data privacy risks;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party transactions;</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confidential, anonymous submission and receipt, retention and treatment of complaints regarding accounting, internal accounting controls or auditing matters; and</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74" w:lineRule="auto"/>
        <w:tabs>
          <w:tab w:leader="none" w:pos="16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serving as the appropriate body to receive and oversee the investigation of reports of suspected violations of laws, regulations or the Code of Conduct, to determine appropriate disciplinary action, and to ensure protections against retaliation for good-faith reporters.</w:t>
      </w:r>
    </w:p>
    <w:p>
      <w:pPr>
        <w:spacing w:after="0" w:line="93" w:lineRule="exact"/>
        <w:rPr>
          <w:sz w:val="20"/>
          <w:szCs w:val="20"/>
          <w:color w:val="auto"/>
        </w:rPr>
      </w:pPr>
    </w:p>
    <w:p>
      <w:pPr>
        <w:ind w:left="1160" w:right="1319" w:firstLine="258"/>
        <w:spacing w:after="0" w:line="259" w:lineRule="auto"/>
        <w:rPr>
          <w:sz w:val="20"/>
          <w:szCs w:val="20"/>
          <w:color w:val="auto"/>
        </w:rPr>
      </w:pPr>
      <w:r>
        <w:rPr>
          <w:rFonts w:ascii="Times New Roman" w:cs="Times New Roman" w:eastAsia="Times New Roman" w:hAnsi="Times New Roman"/>
          <w:sz w:val="14"/>
          <w:szCs w:val="14"/>
          <w:color w:val="auto"/>
        </w:rPr>
        <w:t>Upon the consummation of this offering, our audit committee will consist of Mr. Keehan, Ms. Cleary and Ms. Uhl, with Mr. Keehan serving as chair. Rule 10A-3 of the Exchange Act and the NASDAQ rules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affirmatively determined that Mr. Keehan, Ms. Cleary and Ms. Uhl each meet the definition of “independent director” for purposes of serving on the audit committee under Rule 10A-3 and the NASDAQ rules. Each member of our audit committee meets the financial literacy requirements of NASDAQ listing standards. In addition, our board of directors has determined that Mr. Keehan will qualify as an “audit committee financial expert,” as such term is defined in Item 407(d)(5) of Regulation S-K. Our board of directors will adopt a new written charter for the audit committee, which will be available on our principal corporate website at www.fervoenergy.com substantially concurrently with the consummation of this offering. The information on, or that can be accessed through, any of our websites is deemed not to be incorporated in this prospectus or to be part of this prospectus.</w:t>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nominating and corporate governance committee will be responsible for, among other things:</w:t>
      </w:r>
    </w:p>
    <w:p>
      <w:pPr>
        <w:spacing w:after="0" w:line="140" w:lineRule="exact"/>
        <w:rPr>
          <w:sz w:val="20"/>
          <w:szCs w:val="20"/>
          <w:color w:val="auto"/>
        </w:rPr>
      </w:pPr>
    </w:p>
    <w:p>
      <w:pPr>
        <w:ind w:left="1660" w:right="1239" w:hanging="249"/>
        <w:spacing w:after="0" w:line="292" w:lineRule="auto"/>
        <w:tabs>
          <w:tab w:leader="none" w:pos="16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individuals qualified to become members of our board of directors, consistent with criteria approved by our board of directors, and recommending to the board of directors the nominees for election;</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annual self-evaluations of our board of directors and its committees; and</w:t>
      </w:r>
    </w:p>
    <w:p>
      <w:pPr>
        <w:spacing w:after="0" w:line="139" w:lineRule="exact"/>
        <w:rPr>
          <w:rFonts w:ascii="Times New Roman" w:cs="Times New Roman" w:eastAsia="Times New Roman" w:hAnsi="Times New Roman"/>
          <w:sz w:val="14"/>
          <w:szCs w:val="14"/>
          <w:color w:val="auto"/>
        </w:rPr>
      </w:pPr>
    </w:p>
    <w:p>
      <w:pPr>
        <w:ind w:left="1660" w:right="1559" w:hanging="249"/>
        <w:spacing w:after="0" w:line="292" w:lineRule="auto"/>
        <w:tabs>
          <w:tab w:leader="none" w:pos="16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recommending to our board of directors a set of corporate governance guidelines and reviewing and reassessing the adequacy of such guidelines.</w:t>
      </w:r>
    </w:p>
    <w:p>
      <w:pPr>
        <w:spacing w:after="0" w:line="8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Upon the consummation of this offering, our nominating and corporate governance committee will consist of Ms. Uhl, Mr. Lowe and Mr. Yadigaroglu, with Ms. Uhl serving as chair. Mr. Lowe is affiliated with Devon Energy Corporation, a holder of greater than 10% of our common stock. As such, our board of directors have determined that Mr. Lowe is not independent pursuant to the listing rules of NASDAQ, and Mr. Lowe is limited to two years of service as a non-independent director on our nominating and corporate governance committee. Our board of directors will adopt a new written charter for the nominating and corporate governance committee, which will be available on our principal corporate website at www.fervoenergy.com substantially concurrently with the consummation of this offering. The information on, or that can be accessed through, any of our websites is deemed not to be incorporated in this prospectus or to be part of this prospectus.</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compensation committee will be responsible for, among other things:</w:t>
      </w:r>
    </w:p>
    <w:p>
      <w:pPr>
        <w:spacing w:after="0" w:line="140" w:lineRule="exact"/>
        <w:rPr>
          <w:sz w:val="20"/>
          <w:szCs w:val="20"/>
          <w:color w:val="auto"/>
        </w:rPr>
      </w:pPr>
    </w:p>
    <w:p>
      <w:pPr>
        <w:ind w:left="1660" w:right="1339" w:hanging="249"/>
        <w:spacing w:after="0" w:line="292" w:lineRule="auto"/>
        <w:tabs>
          <w:tab w:leader="none" w:pos="16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setting, or making recommendations to the board regarding the compensation of the Chief Executive Officer and the other named executive officers;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the board regarding director compensation;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79" w:hanging="249"/>
        <w:spacing w:after="0" w:line="292" w:lineRule="auto"/>
        <w:tabs>
          <w:tab w:leader="none" w:pos="16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the Company’s incentive and equity compensation plans and making grants of cash-based and equity-based awards thereunder;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compensating, and overseeing any advisers retained by the Committee.</w:t>
      </w:r>
    </w:p>
    <w:p>
      <w:pPr>
        <w:spacing w:after="0" w:line="14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Upon the consummation of this offering, our compensation committee will consist of Ms. Cleary, Ms. Whitman and Mr. Keehan, with Ms. Cleary serving as chair. Our board has determined that Ms. Cleary, Ms. Whitman and Mr. Keehan are “non-employee directors” as defined in Section 16b-3 of the Exchange Act. Our board of directors will adopt a new written charter for the compensation committee, which will be available on our principal corporate website at www.fervoenergy.com substantially concurrently with the consummation of this offering. The information on, or that can be accessed through, any of our websites is deemed not to be incorporated in this prospectus or to be part of this prospectus.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 Oversight</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w:t>
      </w:r>
    </w:p>
    <w:p>
      <w:pPr>
        <w:sectPr>
          <w:pgSz w:w="11900" w:h="16838" w:orient="portrait"/>
          <w:cols w:equalWidth="0" w:num="1">
            <w:col w:w="9019"/>
          </w:cols>
          <w:pgMar w:left="1440" w:top="168" w:right="1440" w:bottom="0" w:gutter="0" w:footer="0" w:header="0"/>
        </w:sectPr>
      </w:pPr>
    </w:p>
    <w:bookmarkStart w:id="106" w:name="page107"/>
    <w:bookmarkEnd w:id="106"/>
    <w:p>
      <w:pPr>
        <w:ind w:left="1160"/>
        <w:spacing w:after="0"/>
        <w:rPr>
          <w:sz w:val="20"/>
          <w:szCs w:val="20"/>
          <w:color w:val="auto"/>
        </w:rPr>
      </w:pPr>
      <w:r>
        <w:rPr>
          <w:rFonts w:ascii="Times New Roman" w:cs="Times New Roman" w:eastAsia="Times New Roman" w:hAnsi="Times New Roman"/>
          <w:sz w:val="14"/>
          <w:szCs w:val="14"/>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42"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Board Diversity</w:t>
      </w:r>
    </w:p>
    <w:p>
      <w:pPr>
        <w:spacing w:after="0" w:line="142"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diversity of experience and area of expertise, as well as other individual qualities and attributes that contribute to the total diversity of viewpoints and experience represented on the board of directors.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Code of Ethics and Code of Conduct</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Prior to the completion of this offering,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www.fervoenergy.com. In addition, we intend to post on our website all disclosures that are required by law or the NASDAQ listing standards concerning any amendments to, or waivers from, any provision of the code. The information on, or that can be accessed through, any of our websites is deemed not to be incorporated in this prospectus or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42"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This section discusses the material components of the executive and director compensation program for our executive officers who are named in the “2025 Summary Compensation Table” below and each person who served as a director in 2025. We are currently considered an emerging growth company within the meaning of the Securities Act, for purposes of the SEC’s executive compensation disclosure rules. In accordance with such rules, we are required to provide a Summary Compensation Table and an Outstanding Equity Awards at Fiscal Year End Table, as well as narrative disclosures regarding the material terms of our executive compensation program for our last completed fiscal year. Further, our reporting obligations generally extend to each individual who, during the last completed fiscal year, served in the role of our principal executive officer, and to our two most highly compensated executive officers outside of our principal executive officer. With respect to the year ended December 31, 2025, our “named executive officers” or “NEOs” were as follows:</w:t>
      </w:r>
    </w:p>
    <w:p>
      <w:pPr>
        <w:spacing w:after="0" w:line="103" w:lineRule="exact"/>
        <w:rPr>
          <w:sz w:val="20"/>
          <w:szCs w:val="20"/>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Timothy Latimer, Chief Executive Officer and Chair of the board;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Jack Norbeck, Ph.D., Chief Technology Officer;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Ulrey, Chief Financial Officer.</w:t>
      </w:r>
    </w:p>
    <w:p>
      <w:pPr>
        <w:spacing w:after="0" w:line="140"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142"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our named executive officers for the year ended December 31, 2025.</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10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760" w:type="dxa"/>
            <w:vAlign w:val="bottom"/>
            <w:gridSpan w:val="2"/>
            <w:vMerge w:val="continue"/>
          </w:tcPr>
          <w:p>
            <w:pPr>
              <w:spacing w:after="0"/>
              <w:rPr>
                <w:sz w:val="9"/>
                <w:szCs w:val="9"/>
                <w:color w:val="auto"/>
              </w:rPr>
            </w:pPr>
          </w:p>
        </w:tc>
        <w:tc>
          <w:tcPr>
            <w:tcW w:w="100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1000" w:type="dxa"/>
            <w:vAlign w:val="bottom"/>
            <w:gridSpan w:val="2"/>
            <w:vMerge w:val="continue"/>
          </w:tcPr>
          <w:p>
            <w:pPr>
              <w:spacing w:after="0"/>
              <w:rPr>
                <w:sz w:val="9"/>
                <w:szCs w:val="9"/>
                <w:color w:val="auto"/>
              </w:rPr>
            </w:pPr>
          </w:p>
        </w:tc>
        <w:tc>
          <w:tcPr>
            <w:tcW w:w="72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760" w:type="dxa"/>
            <w:vAlign w:val="bottom"/>
            <w:gridSpan w:val="2"/>
            <w:vMerge w:val="continue"/>
          </w:tcPr>
          <w:p>
            <w:pPr>
              <w:spacing w:after="0"/>
              <w:rPr>
                <w:sz w:val="9"/>
                <w:szCs w:val="9"/>
                <w:color w:val="auto"/>
              </w:rPr>
            </w:pPr>
          </w:p>
        </w:tc>
        <w:tc>
          <w:tcPr>
            <w:tcW w:w="76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Awards</w:t>
            </w:r>
          </w:p>
        </w:tc>
        <w:tc>
          <w:tcPr>
            <w:tcW w:w="100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7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tcPr>
          <w:p>
            <w:pPr>
              <w:jc w:val="right"/>
              <w:ind w:right="211"/>
              <w:spacing w:after="0" w:line="150"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(1)</w:t>
            </w:r>
          </w:p>
        </w:tc>
        <w:tc>
          <w:tcPr>
            <w:tcW w:w="40" w:type="dxa"/>
            <w:vAlign w:val="bottom"/>
          </w:tcPr>
          <w:p>
            <w:pPr>
              <w:spacing w:after="0"/>
              <w:rPr>
                <w:sz w:val="13"/>
                <w:szCs w:val="13"/>
                <w:color w:val="auto"/>
              </w:rPr>
            </w:pPr>
          </w:p>
        </w:tc>
        <w:tc>
          <w:tcPr>
            <w:tcW w:w="720" w:type="dxa"/>
            <w:vAlign w:val="bottom"/>
          </w:tcPr>
          <w:p>
            <w:pPr>
              <w:ind w:left="260"/>
              <w:spacing w:after="0" w:line="150"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(2)</w:t>
            </w:r>
          </w:p>
        </w:tc>
        <w:tc>
          <w:tcPr>
            <w:tcW w:w="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3"/>
                <w:szCs w:val="13"/>
                <w:color w:val="auto"/>
              </w:rPr>
            </w:pPr>
          </w:p>
        </w:tc>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(3)</w:t>
            </w:r>
          </w:p>
        </w:tc>
        <w:tc>
          <w:tcPr>
            <w:tcW w:w="40" w:type="dxa"/>
            <w:vAlign w:val="bottom"/>
          </w:tcPr>
          <w:p>
            <w:pPr>
              <w:spacing w:after="0"/>
              <w:rPr>
                <w:sz w:val="13"/>
                <w:szCs w:val="13"/>
                <w:color w:val="auto"/>
              </w:rPr>
            </w:pPr>
          </w:p>
        </w:tc>
        <w:tc>
          <w:tcPr>
            <w:tcW w:w="7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shd w:val="clear" w:color="auto" w:fill="CCEEFF"/>
          </w:tcPr>
          <w:p>
            <w:pPr>
              <w:ind w:left="40"/>
              <w:spacing w:after="0" w:line="88" w:lineRule="exact"/>
              <w:rPr>
                <w:sz w:val="20"/>
                <w:szCs w:val="20"/>
                <w:color w:val="auto"/>
              </w:rPr>
            </w:pPr>
            <w:r>
              <w:rPr>
                <w:rFonts w:ascii="Times New Roman" w:cs="Times New Roman" w:eastAsia="Times New Roman" w:hAnsi="Times New Roman"/>
                <w:sz w:val="10"/>
                <w:szCs w:val="10"/>
                <w:color w:val="auto"/>
              </w:rPr>
              <w:t>Timothy Latimer</w:t>
            </w: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i w:val="1"/>
                <w:iCs w:val="1"/>
                <w:color w:val="auto"/>
                <w:w w:val="99"/>
              </w:rPr>
              <w:t xml:space="preserve">Chief Executive Officer </w:t>
            </w:r>
            <w:r>
              <w:rPr>
                <w:rFonts w:ascii="Times New Roman" w:cs="Times New Roman" w:eastAsia="Times New Roman" w:hAnsi="Times New Roman"/>
                <w:sz w:val="11"/>
                <w:szCs w:val="11"/>
                <w:color w:val="B4B4B4"/>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349,846</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9,667,045</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150,405</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rPr>
              <w:t>799,853</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10,967,149</w:t>
            </w:r>
          </w:p>
        </w:tc>
        <w:tc>
          <w:tcPr>
            <w:tcW w:w="0" w:type="dxa"/>
            <w:vAlign w:val="bottom"/>
          </w:tcPr>
          <w:p>
            <w:pPr>
              <w:spacing w:after="0"/>
              <w:rPr>
                <w:sz w:val="1"/>
                <w:szCs w:val="1"/>
                <w:color w:val="auto"/>
              </w:rPr>
            </w:pPr>
          </w:p>
        </w:tc>
      </w:tr>
      <w:tr>
        <w:trPr>
          <w:trHeight w:val="107"/>
        </w:trPr>
        <w:tc>
          <w:tcPr>
            <w:tcW w:w="170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color w:val="auto"/>
              </w:rPr>
              <w:t>Jack Norbeck, Ph.D.</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w w:val="99"/>
              </w:rPr>
              <w:t xml:space="preserve">Chief Technology Officer </w:t>
            </w:r>
            <w:r>
              <w:rPr>
                <w:rFonts w:ascii="Times New Roman" w:cs="Times New Roman" w:eastAsia="Times New Roman" w:hAnsi="Times New Roman"/>
                <w:sz w:val="11"/>
                <w:szCs w:val="11"/>
                <w:color w:val="B4B4B4"/>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1"/>
                <w:szCs w:val="11"/>
                <w:color w:val="auto"/>
              </w:rPr>
              <w:t>312,287</w:t>
            </w:r>
          </w:p>
        </w:tc>
        <w:tc>
          <w:tcPr>
            <w:tcW w:w="40" w:type="dxa"/>
            <w:vAlign w:val="bottom"/>
          </w:tcPr>
          <w:p>
            <w:pPr>
              <w:spacing w:after="0"/>
              <w:rPr>
                <w:sz w:val="13"/>
                <w:szCs w:val="13"/>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1,453,726</w:t>
            </w:r>
          </w:p>
        </w:tc>
        <w:tc>
          <w:tcPr>
            <w:tcW w:w="4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101,876</w:t>
            </w:r>
          </w:p>
        </w:tc>
        <w:tc>
          <w:tcPr>
            <w:tcW w:w="4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rPr>
              <w:t>432,253</w:t>
            </w:r>
          </w:p>
        </w:tc>
        <w:tc>
          <w:tcPr>
            <w:tcW w:w="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2,300,142</w:t>
            </w:r>
          </w:p>
        </w:tc>
        <w:tc>
          <w:tcPr>
            <w:tcW w:w="0" w:type="dxa"/>
            <w:vAlign w:val="bottom"/>
          </w:tcPr>
          <w:p>
            <w:pPr>
              <w:spacing w:after="0"/>
              <w:rPr>
                <w:sz w:val="1"/>
                <w:szCs w:val="1"/>
                <w:color w:val="auto"/>
              </w:rPr>
            </w:pPr>
          </w:p>
        </w:tc>
      </w:tr>
      <w:tr>
        <w:trPr>
          <w:trHeight w:val="113"/>
        </w:trPr>
        <w:tc>
          <w:tcPr>
            <w:tcW w:w="1700" w:type="dxa"/>
            <w:vAlign w:val="bottom"/>
            <w:gridSpan w:val="2"/>
            <w:shd w:val="clear" w:color="auto" w:fill="CCEEFF"/>
          </w:tcPr>
          <w:p>
            <w:pPr>
              <w:ind w:left="40"/>
              <w:spacing w:after="0" w:line="113" w:lineRule="exact"/>
              <w:rPr>
                <w:sz w:val="20"/>
                <w:szCs w:val="20"/>
                <w:color w:val="auto"/>
              </w:rPr>
            </w:pPr>
            <w:r>
              <w:rPr>
                <w:rFonts w:ascii="Times New Roman" w:cs="Times New Roman" w:eastAsia="Times New Roman" w:hAnsi="Times New Roman"/>
                <w:sz w:val="11"/>
                <w:szCs w:val="11"/>
                <w:color w:val="auto"/>
              </w:rPr>
              <w:t>David Ulrey</w:t>
            </w: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i w:val="1"/>
                <w:iCs w:val="1"/>
                <w:color w:val="auto"/>
                <w:w w:val="99"/>
              </w:rPr>
              <w:t xml:space="preserve">Chief Financial Officer </w:t>
            </w:r>
            <w:r>
              <w:rPr>
                <w:rFonts w:ascii="Times New Roman" w:cs="Times New Roman" w:eastAsia="Times New Roman" w:hAnsi="Times New Roman"/>
                <w:sz w:val="11"/>
                <w:szCs w:val="11"/>
                <w:color w:val="B4B4B4"/>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337,077</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2,180,589</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113,280</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rPr>
              <w:t>53,499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2,684,445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hanging="267"/>
        <w:spacing w:after="0"/>
        <w:tabs>
          <w:tab w:leader="none" w:pos="142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base salary earned during 2025, even if paid in 2026.</w:t>
      </w:r>
    </w:p>
    <w:p>
      <w:pPr>
        <w:spacing w:after="0" w:line="9" w:lineRule="exact"/>
        <w:rPr>
          <w:rFonts w:ascii="Times New Roman" w:cs="Times New Roman" w:eastAsia="Times New Roman" w:hAnsi="Times New Roman"/>
          <w:sz w:val="11"/>
          <w:szCs w:val="11"/>
          <w:color w:val="auto"/>
        </w:rPr>
      </w:pPr>
    </w:p>
    <w:p>
      <w:pPr>
        <w:ind w:left="1420" w:right="1279" w:hanging="267"/>
        <w:spacing w:after="0" w:line="260" w:lineRule="auto"/>
        <w:tabs>
          <w:tab w:leader="none" w:pos="142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the aggregate grant date fair value of stock options granted during the year ended December 31, 2025 computed in accordance with FASB ASC Topic 718, Compensation — Stock Compensation and do not necessarily correspond to the actual economic value that may be received by the named executive officers from these awards. We provide information regarding the assumptions used to calculate the value of all stock options made to named executive officers in Note 10 – Stock Based Compensation to the consolidated financial statements included in this prospectus.</w:t>
      </w:r>
    </w:p>
    <w:p>
      <w:pPr>
        <w:spacing w:after="0" w:line="2" w:lineRule="exact"/>
        <w:rPr>
          <w:rFonts w:ascii="Times New Roman" w:cs="Times New Roman" w:eastAsia="Times New Roman" w:hAnsi="Times New Roman"/>
          <w:sz w:val="11"/>
          <w:szCs w:val="11"/>
          <w:color w:val="auto"/>
        </w:rPr>
      </w:pPr>
    </w:p>
    <w:p>
      <w:pPr>
        <w:ind w:left="1420" w:right="1179" w:hanging="267"/>
        <w:spacing w:after="0" w:line="265" w:lineRule="auto"/>
        <w:tabs>
          <w:tab w:leader="none" w:pos="142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(i) $23,500, $21,577 and $23,499 in employer matching contributions made to the Fervo Energy 401(k) plan, for Mr. Latimer, Dr. Norbeck and Mr. Ulrey, respectively, (ii) $776,353 and $388,176 in compensatory payments to Mr. Latimer and Dr. Norbeck, respectively, in connection with the Company’s repurchase of shares of common stock held by Mr. Latimer and Dr. Norbeck, representing the total purchase price of such shares greater than their fair market value on the repurchase date, and (iii) $22,500 and $30,000 in executive coaching services for Dr. Norbeck and Mr. Ulrey, respectively. For more information regarding these amounts, see “Other Elements of Compensation and Compensation Policies” below.</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ectPr>
          <w:pgSz w:w="11900" w:h="16838" w:orient="portrait"/>
          <w:cols w:equalWidth="0" w:num="1">
            <w:col w:w="9019"/>
          </w:cols>
          <w:pgMar w:left="1440" w:top="94" w:right="1440" w:bottom="0" w:gutter="0" w:footer="0" w:header="0"/>
        </w:sectPr>
      </w:pP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2025 Salaries</w:t>
      </w:r>
    </w:p>
    <w:p>
      <w:pPr>
        <w:sectPr>
          <w:pgSz w:w="11900" w:h="16838" w:orient="portrait"/>
          <w:cols w:equalWidth="0" w:num="1">
            <w:col w:w="9019"/>
          </w:cols>
          <w:pgMar w:left="1440" w:top="94" w:right="1440" w:bottom="0" w:gutter="0" w:footer="0" w:header="0"/>
          <w:type w:val="continuous"/>
        </w:sectPr>
      </w:pPr>
    </w:p>
    <w:bookmarkStart w:id="107" w:name="page108"/>
    <w:bookmarkEnd w:id="107"/>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Each of our named executive officers receives an annual base salary to compensate the executive for services rendered to us.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As of January 1, 2025, the annual base salaries for our named executive officers were $320,000 for Mr. Latimer, $289,000 for Dr. Norbeck and $321,350 for Mr. Ulrey. We increased the named executive officers’ salaries in May 2025 (to $352,000, $317,900 and $337,417, respectively), and in November 2025 (to $440,000, $365,585 and $388,030, respectively).</w:t>
      </w:r>
    </w:p>
    <w:p>
      <w:pPr>
        <w:spacing w:after="0" w:line="97"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The “Salary” column of the 2025 Summary Compensation Table above shows the actual base salary earned by each named executive officer in 2025.</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Non-Equity Incentive Plan Compensation</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In addition to base salaries, our named executive officers are eligible to receive annual performance-based cash bonuses. The performance periods for our annual cash bonus programs generally commence on April 1 and end on the following March 31. Under our 2024 – 2025 Employee Incentive Bonus Plan, which commenced on April 1, 2024 and ended on March 31, 2025, Mr. Latimer, Dr. Norbeck and Mr. Ulrey were eligible to earn an annual performance-based cash incentive bonus that was calculated based on the achievement of company and individual objectives. Company objectives related to the achievement of operational goals regarding Cape Station, scaling our corporate organization, and improvements to our system and scaling (the “Company OKRs”).</w:t>
      </w:r>
    </w:p>
    <w:p>
      <w:pPr>
        <w:spacing w:after="0" w:line="101" w:lineRule="exact"/>
        <w:rPr>
          <w:sz w:val="20"/>
          <w:szCs w:val="20"/>
          <w:color w:val="auto"/>
        </w:rPr>
      </w:pPr>
    </w:p>
    <w:p>
      <w:pPr>
        <w:ind w:left="1160" w:right="1199" w:firstLine="293"/>
        <w:spacing w:after="0" w:line="260" w:lineRule="auto"/>
        <w:rPr>
          <w:sz w:val="20"/>
          <w:szCs w:val="20"/>
          <w:color w:val="auto"/>
        </w:rPr>
      </w:pPr>
      <w:r>
        <w:rPr>
          <w:rFonts w:ascii="Times New Roman" w:cs="Times New Roman" w:eastAsia="Times New Roman" w:hAnsi="Times New Roman"/>
          <w:sz w:val="14"/>
          <w:szCs w:val="14"/>
          <w:color w:val="auto"/>
        </w:rPr>
        <w:t>Mr. Latimer, Dr. Norbeck and Mr. Ulrey were eligible to receive a target annual bonus equal to 40%, 30% and 30% of their respective annual base salaries under our 2024 – 2025 Employee Incentive Bonus Plan. Following the end of the performance period, our board of directors reviewed our performance against each Company OKR and reviewed each executive’s individual performance and determined that each Company OKR was achieved at or above 100%, other than our operational goals regarding Cape Station, which were achieved at 97.5% on average. We also determined that Dr. Norbeck and Mr. Ulrey satisfied their individual objectives were achieved at or above 100% and determined that Mr. Latimer’s individual objectives were satisfied at a level equal to the Company’s achievement of the Company OKRs. The “Non-Equity Incentive Plan Compensation” column of the 2025 Summary Compensation Table above shows the actual bonuses earned by each named executive officer, which were paid in May 2025.</w:t>
      </w:r>
    </w:p>
    <w:p>
      <w:pPr>
        <w:spacing w:after="0" w:line="278"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Each of our named executive officers participates in our 2025 – 2026 Employee Incentive Bonus Plan, which commenced on April 1, 2025 and ended on March 31, 2026. Our board of directors increased the target annual bonuses under our 2025 – 2026 Employee Incentive Bonus Plan for Mr. Latimer, Dr. Norbeck and Mr. Ulrey to 75%, 55% and 55% of their respective annual base salaries, effective as of November 17, 2025. Any annual bonuses earned by them under our 2025 – 2026 Employee Incentive Bonus Plan will be pro-rated based on the effective date of these increases.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2019 Stock Incentive Plan</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Prior to this offering, we maintained the Fervo Energy Company 2019 Stock Incentive Plan (the “2019 Plan”) in order to provide our service providers with equity ownership opportunities and performance-based incentives that are intended to better align their interests with those of our stockholders. Historically, we granted stock options to purchase shares of our common stock to eligible service providers, including our named executive officers, pursuant to the 2019 Plan. Options typically vest and become exercisable over a four-year period, subject to the grantee’s continued service through the applicable vesting date, as follows: (i) 25% of the shares underlying the option on the first annual anniversary of the vesting commencement date and (ii) 75% of the shares underlying the option in 36 substantially equal installments on each monthly anniversary of the vesting commencement date thereafter. For a summary of the material terms of the 2019 Plan, please see the section titled “2019 Stock Incentive Plan” below.</w:t>
      </w:r>
    </w:p>
    <w:p>
      <w:pPr>
        <w:spacing w:after="0" w:line="106"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No awards will be granted under the 2019 Plan following this offering and the adoption of the 2026 Incentive Award Plan. In addition, in connection with the completion of this offering, the stock options granted pursuant to the 2019 Plan will be reclassified to cover shares of our Class A common stock pursuant to the Reclassification; however, shares of Class A common stock received by Mr. Latimer and Dr. Norbeck in connection with the exercise of their stock options may be exchanged for shares of our Class B common stock, as further described in “Certain Relationships and Related Party Transactions” below.</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2025 Stock Options</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In December 2025, we granted stock options to our named executive officers under the 2019 Plan, as set forth below. The stock options generally vest and become exercisable in accordance with the standard vesting schedule of option grants described above.</w:t>
      </w:r>
    </w:p>
    <w:p>
      <w:pPr>
        <w:spacing w:after="0" w:line="93"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following table sets forth the stock option awards granted to our named executive officers in the 2025 fiscal year. The awards described below have been adjusted to reflect the Stock Split, which will occur upon the filing of our Amended Charter after the effectiveness of the registration statement to which this offering relates and prior to the completion of this offering.</w:t>
      </w:r>
    </w:p>
    <w:p>
      <w:pPr>
        <w:sectPr>
          <w:pgSz w:w="11900" w:h="16838" w:orient="portrait"/>
          <w:cols w:equalWidth="0" w:num="1">
            <w:col w:w="9019"/>
          </w:cols>
          <w:pgMar w:left="1440" w:top="178" w:right="1440" w:bottom="0" w:gutter="0" w:footer="0" w:header="0"/>
        </w:sectPr>
      </w:pPr>
    </w:p>
    <w:bookmarkStart w:id="108" w:name="page109"/>
    <w:bookmarkEnd w:id="10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26"/>
        </w:trPr>
        <w:tc>
          <w:tcPr>
            <w:tcW w:w="57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8"/>
        </w:trPr>
        <w:tc>
          <w:tcPr>
            <w:tcW w:w="57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Shares Subject to</w:t>
            </w:r>
          </w:p>
        </w:tc>
        <w:tc>
          <w:tcPr>
            <w:tcW w:w="0" w:type="dxa"/>
            <w:vAlign w:val="bottom"/>
          </w:tcPr>
          <w:p>
            <w:pPr>
              <w:spacing w:after="0"/>
              <w:rPr>
                <w:sz w:val="1"/>
                <w:szCs w:val="1"/>
                <w:color w:val="auto"/>
              </w:rPr>
            </w:pPr>
          </w:p>
        </w:tc>
      </w:tr>
      <w:tr>
        <w:trPr>
          <w:trHeight w:val="116"/>
        </w:trPr>
        <w:tc>
          <w:tcPr>
            <w:tcW w:w="57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9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Options Granted</w:t>
            </w:r>
          </w:p>
        </w:tc>
        <w:tc>
          <w:tcPr>
            <w:tcW w:w="0" w:type="dxa"/>
            <w:vAlign w:val="bottom"/>
          </w:tcPr>
          <w:p>
            <w:pPr>
              <w:spacing w:after="0"/>
              <w:rPr>
                <w:sz w:val="1"/>
                <w:szCs w:val="1"/>
                <w:color w:val="auto"/>
              </w:rPr>
            </w:pPr>
          </w:p>
        </w:tc>
      </w:tr>
      <w:tr>
        <w:trPr>
          <w:trHeight w:val="107"/>
        </w:trPr>
        <w:tc>
          <w:tcPr>
            <w:tcW w:w="5760" w:type="dxa"/>
            <w:vAlign w:val="bottom"/>
            <w:vMerge w:val="continue"/>
          </w:tcPr>
          <w:p>
            <w:pPr>
              <w:spacing w:after="0"/>
              <w:rPr>
                <w:sz w:val="9"/>
                <w:szCs w:val="9"/>
                <w:color w:val="auto"/>
              </w:rPr>
            </w:pPr>
          </w:p>
        </w:tc>
        <w:tc>
          <w:tcPr>
            <w:tcW w:w="9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in 2025</w:t>
            </w:r>
          </w:p>
        </w:tc>
        <w:tc>
          <w:tcPr>
            <w:tcW w:w="0" w:type="dxa"/>
            <w:vAlign w:val="bottom"/>
          </w:tcPr>
          <w:p>
            <w:pPr>
              <w:spacing w:after="0"/>
              <w:rPr>
                <w:sz w:val="1"/>
                <w:szCs w:val="1"/>
                <w:color w:val="auto"/>
              </w:rPr>
            </w:pPr>
          </w:p>
        </w:tc>
      </w:tr>
      <w:tr>
        <w:trPr>
          <w:trHeight w:val="64"/>
        </w:trPr>
        <w:tc>
          <w:tcPr>
            <w:tcW w:w="5760" w:type="dxa"/>
            <w:vAlign w:val="bottom"/>
          </w:tcPr>
          <w:p>
            <w:pPr>
              <w:ind w:left="40"/>
              <w:spacing w:after="0" w:line="65" w:lineRule="exact"/>
              <w:rPr>
                <w:sz w:val="20"/>
                <w:szCs w:val="20"/>
                <w:color w:val="auto"/>
              </w:rPr>
            </w:pPr>
            <w:r>
              <w:rPr>
                <w:rFonts w:ascii="Times New Roman" w:cs="Times New Roman" w:eastAsia="Times New Roman" w:hAnsi="Times New Roman"/>
                <w:sz w:val="7"/>
                <w:szCs w:val="7"/>
                <w:color w:val="auto"/>
              </w:rPr>
              <w:t xml:space="preserve">Timothy Latimer </w:t>
            </w:r>
            <w:r>
              <w:rPr>
                <w:rFonts w:ascii="Times New Roman" w:cs="Times New Roman" w:eastAsia="Times New Roman" w:hAnsi="Times New Roman"/>
                <w:sz w:val="7"/>
                <w:szCs w:val="7"/>
                <w:color w:val="B4B4B4"/>
              </w:rPr>
              <w:t>..................................................................................................................................</w:t>
            </w:r>
          </w:p>
        </w:tc>
        <w:tc>
          <w:tcPr>
            <w:tcW w:w="940" w:type="dxa"/>
            <w:vAlign w:val="bottom"/>
          </w:tcPr>
          <w:p>
            <w:pPr>
              <w:jc w:val="right"/>
              <w:ind w:right="2"/>
              <w:spacing w:after="0" w:line="65" w:lineRule="exact"/>
              <w:rPr>
                <w:sz w:val="20"/>
                <w:szCs w:val="20"/>
                <w:color w:val="auto"/>
              </w:rPr>
            </w:pPr>
            <w:r>
              <w:rPr>
                <w:rFonts w:ascii="Times New Roman" w:cs="Times New Roman" w:eastAsia="Times New Roman" w:hAnsi="Times New Roman"/>
                <w:sz w:val="7"/>
                <w:szCs w:val="7"/>
                <w:color w:val="auto"/>
              </w:rPr>
              <w:t>2,391,947</w:t>
            </w:r>
          </w:p>
        </w:tc>
        <w:tc>
          <w:tcPr>
            <w:tcW w:w="0" w:type="dxa"/>
            <w:vAlign w:val="bottom"/>
          </w:tcPr>
          <w:p>
            <w:pPr>
              <w:spacing w:after="0"/>
              <w:rPr>
                <w:sz w:val="1"/>
                <w:szCs w:val="1"/>
                <w:color w:val="auto"/>
              </w:rPr>
            </w:pPr>
          </w:p>
        </w:tc>
      </w:tr>
      <w:tr>
        <w:trPr>
          <w:trHeight w:val="246"/>
        </w:trPr>
        <w:tc>
          <w:tcPr>
            <w:tcW w:w="5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Jack Norbeck, Ph.D. </w:t>
            </w:r>
            <w:r>
              <w:rPr>
                <w:rFonts w:ascii="Times New Roman" w:cs="Times New Roman" w:eastAsia="Times New Roman" w:hAnsi="Times New Roman"/>
                <w:sz w:val="14"/>
                <w:szCs w:val="14"/>
                <w:color w:val="B4B4B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rPr>
              <w:t>359,700</w:t>
            </w:r>
          </w:p>
        </w:tc>
        <w:tc>
          <w:tcPr>
            <w:tcW w:w="0" w:type="dxa"/>
            <w:vAlign w:val="bottom"/>
          </w:tcPr>
          <w:p>
            <w:pPr>
              <w:spacing w:after="0"/>
              <w:rPr>
                <w:sz w:val="1"/>
                <w:szCs w:val="1"/>
                <w:color w:val="auto"/>
              </w:rPr>
            </w:pPr>
          </w:p>
        </w:tc>
      </w:tr>
      <w:tr>
        <w:trPr>
          <w:trHeight w:val="204"/>
        </w:trPr>
        <w:tc>
          <w:tcPr>
            <w:tcW w:w="5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David Ulrey </w:t>
            </w:r>
            <w:r>
              <w:rPr>
                <w:rFonts w:ascii="Times New Roman" w:cs="Times New Roman" w:eastAsia="Times New Roman" w:hAnsi="Times New Roman"/>
                <w:sz w:val="14"/>
                <w:szCs w:val="14"/>
                <w:color w:val="B4B4B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rPr>
              <w:t>539,550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2026 Performance Options</w:t>
      </w:r>
    </w:p>
    <w:p>
      <w:pPr>
        <w:spacing w:after="0" w:line="142"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In March 2026, we granted two stock options to Mr. Latimer under the 2019 Plan covering (i) 2,431,497 shares of our common stock (the “Operational Milestone Option”) and (ii) 7,294,493 shares of our common stock (the “Market Capitalization Option”), each adjusted to reflect the Stock Split that will occur upon the effectiveness of this Registration Statement on Form S-1. The material terms and conditions of the Operational Milestone Option and Market Capitalization Option are summarized below.</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Operational Milestone Option</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Operational Milestone Option vests and becomes exercisable upon satisfaction of both a milestone-based condition and a service-based condition. The milestone-based condition is our achievement of a commercial operation date of Cape Phase 1 no later than January 1, 2027 (the “Operational Milestone Date”). The service-based condition is satisfied as to 25% of the underlying shares on the Operational Milestone Date and as to the remaining shares in 36 substantially equal successive monthly installments over the three-year period thereafter, subject to continued employment. For clarity, if the Operational Milestone Date does not occur prior to January 1, 2027, then the Operational Milestone Option will be forfeited and terminated without consideration as of such date.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the Company incurs a change in control (as defined in the Operational Milestone Option agreement) and the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Operational Milestone Option is assumed, then:</w:t>
      </w:r>
    </w:p>
    <w:p>
      <w:pPr>
        <w:spacing w:after="0" w:line="126" w:lineRule="exact"/>
        <w:rPr>
          <w:sz w:val="20"/>
          <w:szCs w:val="20"/>
          <w:color w:val="auto"/>
        </w:rPr>
      </w:pPr>
    </w:p>
    <w:p>
      <w:pPr>
        <w:ind w:left="1660" w:right="1639" w:hanging="249"/>
        <w:spacing w:after="0" w:line="292" w:lineRule="auto"/>
        <w:tabs>
          <w:tab w:leader="none" w:pos="16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milestone-based condition will be deemed satisfied (if not already satisfied) and the Operational Milestone Date will be the date of such change in control; and</w:t>
      </w:r>
    </w:p>
    <w:p>
      <w:pPr>
        <w:spacing w:after="0" w:line="80" w:lineRule="exact"/>
        <w:rPr>
          <w:rFonts w:ascii="Times New Roman" w:cs="Times New Roman" w:eastAsia="Times New Roman" w:hAnsi="Times New Roman"/>
          <w:sz w:val="14"/>
          <w:szCs w:val="14"/>
          <w:color w:val="auto"/>
        </w:rPr>
      </w:pPr>
    </w:p>
    <w:p>
      <w:pPr>
        <w:jc w:val="both"/>
        <w:ind w:left="1660" w:right="1319" w:hanging="249"/>
        <w:spacing w:after="0" w:line="274" w:lineRule="auto"/>
        <w:tabs>
          <w:tab w:leader="none" w:pos="16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milestone-based condition was satisfied prior to the change in control, then the shares subject to the Operational Milestone Option will continue to satisfy the service-based condition in accordance with the terms described above.</w:t>
      </w:r>
    </w:p>
    <w:p>
      <w:pPr>
        <w:spacing w:after="0" w:line="93"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If the Operational Milestone Option is not assumed in the change in control, then the Operational Milestone Option will become fully vested and exercisable as of the date of such change in control.</w:t>
      </w:r>
    </w:p>
    <w:p>
      <w:pPr>
        <w:spacing w:after="0" w:line="8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If Mr. Latimer is terminated by us without cause, by Mr. Latimer for good reason, or due to Mr. Latimer’s death or disability, then:</w:t>
      </w:r>
    </w:p>
    <w:p>
      <w:pPr>
        <w:spacing w:after="0" w:line="81" w:lineRule="exact"/>
        <w:rPr>
          <w:sz w:val="20"/>
          <w:szCs w:val="20"/>
          <w:color w:val="auto"/>
        </w:rPr>
      </w:pPr>
    </w:p>
    <w:p>
      <w:pPr>
        <w:ind w:left="1660" w:right="1179" w:hanging="249"/>
        <w:spacing w:after="0" w:line="274" w:lineRule="auto"/>
        <w:tabs>
          <w:tab w:leader="none" w:pos="16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milestone-based condition was not satisfied prior to the termination date, then the Operational Milestone Option will remain outstanding until January 1, 2027 and will be eligible to vest and become exercisable upon achievement of the milestone-based condition, in which case a pro-rated number of shares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will vest and become exercisable (based on the portion of the period prior to vesting during which Mr.</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Latimer was employed); and</w:t>
      </w:r>
    </w:p>
    <w:p>
      <w:pPr>
        <w:spacing w:after="0" w:line="126" w:lineRule="exact"/>
        <w:rPr>
          <w:sz w:val="20"/>
          <w:szCs w:val="20"/>
          <w:color w:val="auto"/>
        </w:rPr>
      </w:pPr>
    </w:p>
    <w:p>
      <w:pPr>
        <w:ind w:left="1660" w:right="1539" w:hanging="249"/>
        <w:spacing w:after="0" w:line="292" w:lineRule="auto"/>
        <w:tabs>
          <w:tab w:leader="none" w:pos="16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milestone-based condition was satisfied prior to the termination date, the Operational Milestone Option will become fully vested and exercisable as of the date of such termination.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Market Capitalization Option</w:t>
      </w:r>
    </w:p>
    <w:p>
      <w:pPr>
        <w:spacing w:after="0" w:line="142" w:lineRule="exact"/>
        <w:rPr>
          <w:sz w:val="20"/>
          <w:szCs w:val="20"/>
          <w:color w:val="auto"/>
        </w:rPr>
      </w:pPr>
    </w:p>
    <w:p>
      <w:pPr>
        <w:ind w:left="1160" w:right="1359" w:firstLine="258"/>
        <w:spacing w:after="0" w:line="261" w:lineRule="auto"/>
        <w:rPr>
          <w:sz w:val="20"/>
          <w:szCs w:val="20"/>
          <w:color w:val="auto"/>
        </w:rPr>
      </w:pPr>
      <w:r>
        <w:rPr>
          <w:rFonts w:ascii="Times New Roman" w:cs="Times New Roman" w:eastAsia="Times New Roman" w:hAnsi="Times New Roman"/>
          <w:sz w:val="14"/>
          <w:szCs w:val="14"/>
          <w:color w:val="auto"/>
        </w:rPr>
        <w:t>The Market Capitalization Option vests and becomes exercisable upon satisfaction of both a milestone-based condition and a service-based condition. The milestone-based condition is our achievement of the Market Capitalization Milestone Condition (as set forth in the table below). The service-based condition is satisfied as to 25% of the underlying shares on the Market Capitalization Milestone Date and as to the remaining shares in 36 substantially equal successive monthly installments over the three-year period thereafter, subject to continued employment. However, if we do not complete an initial public offering of our shares of common stock by August 15, 2026, then the Market Capitalization Option will be forfeited and terminated without consideration as of such date.</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Market Capitalization Milestone Condition*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50"/>
        </w:trPr>
        <w:tc>
          <w:tcPr>
            <w:tcW w:w="5760" w:type="dxa"/>
            <w:vAlign w:val="bottom"/>
            <w:gridSpan w:val="2"/>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27"/>
        </w:trPr>
        <w:tc>
          <w:tcPr>
            <w:tcW w:w="5720" w:type="dxa"/>
            <w:vAlign w:val="bottom"/>
            <w:tcBorders>
              <w:top w:val="single" w:sz="8" w:color="auto"/>
            </w:tcBorders>
            <w:shd w:val="clear" w:color="auto" w:fill="CCEEFF"/>
          </w:tcPr>
          <w:p>
            <w:pPr>
              <w:ind w:left="40"/>
              <w:spacing w:after="0" w:line="127" w:lineRule="exact"/>
              <w:rPr>
                <w:sz w:val="20"/>
                <w:szCs w:val="20"/>
                <w:color w:val="auto"/>
              </w:rPr>
            </w:pPr>
            <w:r>
              <w:rPr>
                <w:rFonts w:ascii="Times New Roman" w:cs="Times New Roman" w:eastAsia="Times New Roman" w:hAnsi="Times New Roman"/>
                <w:sz w:val="14"/>
                <w:szCs w:val="14"/>
                <w:color w:val="auto"/>
              </w:rPr>
              <w:t>Prior to the fifth anniversary of the grant date, a market capitalization equal to or exceeding $20</w:t>
            </w:r>
          </w:p>
        </w:tc>
        <w:tc>
          <w:tcPr>
            <w:tcW w:w="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760" w:type="dxa"/>
            <w:vAlign w:val="bottom"/>
            <w:gridSpan w:val="2"/>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billion at a time when we are the largest geothermal operator in the world, measured by</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2,431,497</w:t>
            </w:r>
          </w:p>
        </w:tc>
        <w:tc>
          <w:tcPr>
            <w:tcW w:w="0" w:type="dxa"/>
            <w:vAlign w:val="bottom"/>
          </w:tcPr>
          <w:p>
            <w:pPr>
              <w:spacing w:after="0"/>
              <w:rPr>
                <w:sz w:val="1"/>
                <w:szCs w:val="1"/>
                <w:color w:val="auto"/>
              </w:rPr>
            </w:pPr>
          </w:p>
        </w:tc>
      </w:tr>
      <w:tr>
        <w:trPr>
          <w:trHeight w:val="19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installed capacity. </w:t>
            </w:r>
            <w:r>
              <w:rPr>
                <w:rFonts w:ascii="Times New Roman" w:cs="Times New Roman" w:eastAsia="Times New Roman" w:hAnsi="Times New Roman"/>
                <w:sz w:val="14"/>
                <w:szCs w:val="14"/>
                <w:color w:val="B4B4B4"/>
              </w:rPr>
              <w:t>.............................................................................................................................</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76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A market capitalization equal to or exceeding $40 billion at a time when we have installed at least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2,431,497</w:t>
            </w:r>
          </w:p>
        </w:tc>
        <w:tc>
          <w:tcPr>
            <w:tcW w:w="0" w:type="dxa"/>
            <w:vAlign w:val="bottom"/>
          </w:tcPr>
          <w:p>
            <w:pPr>
              <w:spacing w:after="0"/>
              <w:rPr>
                <w:sz w:val="1"/>
                <w:szCs w:val="1"/>
                <w:color w:val="auto"/>
              </w:rPr>
            </w:pPr>
          </w:p>
        </w:tc>
      </w:tr>
      <w:tr>
        <w:trPr>
          <w:trHeight w:val="189"/>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five gigawatts of capacity.</w:t>
            </w:r>
            <w:r>
              <w:rPr>
                <w:rFonts w:ascii="Times New Roman" w:cs="Times New Roman" w:eastAsia="Times New Roman" w:hAnsi="Times New Roman"/>
                <w:sz w:val="14"/>
                <w:szCs w:val="14"/>
                <w:color w:val="B4B4B4"/>
              </w:rPr>
              <w:t>................................................................................................................</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760" w:type="dxa"/>
            <w:vAlign w:val="bottom"/>
            <w:gridSpan w:val="2"/>
            <w:shd w:val="clear" w:color="auto" w:fill="CCEEFF"/>
          </w:tcPr>
          <w:p>
            <w:pPr>
              <w:ind w:left="40"/>
              <w:spacing w:after="0" w:line="143" w:lineRule="exact"/>
              <w:rPr>
                <w:sz w:val="20"/>
                <w:szCs w:val="20"/>
                <w:color w:val="auto"/>
              </w:rPr>
            </w:pPr>
            <w:r>
              <w:rPr>
                <w:rFonts w:ascii="Times New Roman" w:cs="Times New Roman" w:eastAsia="Times New Roman" w:hAnsi="Times New Roman"/>
                <w:sz w:val="14"/>
                <w:szCs w:val="14"/>
                <w:color w:val="auto"/>
              </w:rPr>
              <w:t>A market capitalization equal to or exceeding $80 billion at a time when we have installed at least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2,431,497</w:t>
            </w:r>
          </w:p>
        </w:tc>
        <w:tc>
          <w:tcPr>
            <w:tcW w:w="0" w:type="dxa"/>
            <w:vAlign w:val="bottom"/>
          </w:tcPr>
          <w:p>
            <w:pPr>
              <w:spacing w:after="0"/>
              <w:rPr>
                <w:sz w:val="1"/>
                <w:szCs w:val="1"/>
                <w:color w:val="auto"/>
              </w:rPr>
            </w:pPr>
          </w:p>
        </w:tc>
      </w:tr>
      <w:tr>
        <w:trPr>
          <w:trHeight w:val="19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ten gigawatts of capacity. </w:t>
            </w:r>
            <w:r>
              <w:rPr>
                <w:rFonts w:ascii="Times New Roman" w:cs="Times New Roman" w:eastAsia="Times New Roman" w:hAnsi="Times New Roman"/>
                <w:sz w:val="14"/>
                <w:szCs w:val="14"/>
                <w:color w:val="B4B4B4"/>
              </w:rPr>
              <w:t>.................................................................................................................</w:t>
            </w: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439" w:hanging="267"/>
        <w:spacing w:after="0" w:line="282" w:lineRule="auto"/>
        <w:tabs>
          <w:tab w:leader="none" w:pos="1420" w:val="left"/>
        </w:tabs>
        <w:numPr>
          <w:ilvl w:val="0"/>
          <w:numId w:val="1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capitalization will be determined based on the average closing price of our common stock over any consecutive 90-trading-day period following the last day of the lock-up period relating to this offering.</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the Company incurs a change in control (as defined in the Market Capitalization Option agreement):</w:t>
      </w:r>
    </w:p>
    <w:p>
      <w:pPr>
        <w:spacing w:after="0" w:line="140" w:lineRule="exact"/>
        <w:rPr>
          <w:sz w:val="20"/>
          <w:szCs w:val="20"/>
          <w:color w:val="auto"/>
        </w:rPr>
      </w:pPr>
    </w:p>
    <w:p>
      <w:pPr>
        <w:ind w:left="1660" w:right="1159" w:hanging="249"/>
        <w:spacing w:after="0" w:line="262" w:lineRule="auto"/>
        <w:tabs>
          <w:tab w:leader="none" w:pos="16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 Market Capitalization Milestone Condition has not been achieved, the Market Capitalization Milestone Condition will be assessed based on our market capitalization in the change in control, as determined by the CIC Price (as defined in the Market Capitalization Option agreement), and without regard to the capacity-based performance condition of the Market Capitalization Milestone Condition. If the Company’s market capitalization falls between $20 billion and $40 billion or between $40 billion and $80 billion, then a portion of the option subject to the greater of such conditions shall be earned, determined by using straight-line interpolation between the market capitalization goals;</w:t>
      </w:r>
    </w:p>
    <w:p>
      <w:pPr>
        <w:spacing w:after="0" w:line="101" w:lineRule="exact"/>
        <w:rPr>
          <w:rFonts w:ascii="Times New Roman" w:cs="Times New Roman" w:eastAsia="Times New Roman" w:hAnsi="Times New Roman"/>
          <w:sz w:val="14"/>
          <w:szCs w:val="14"/>
          <w:color w:val="auto"/>
        </w:rPr>
      </w:pPr>
    </w:p>
    <w:p>
      <w:pPr>
        <w:jc w:val="both"/>
        <w:ind w:left="1660" w:right="1219" w:hanging="249"/>
        <w:spacing w:after="0" w:line="274" w:lineRule="auto"/>
        <w:tabs>
          <w:tab w:leader="none" w:pos="16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 Market Capitalization Milestone Condition is achieved in accordance with the bullet above, if the corresponding portion of the Market Capitalization Option is assumed in connection with a change in control, the option shall be deemed to have achieved the applicable Market Capitalization Milestone</w:t>
      </w:r>
    </w:p>
    <w:p>
      <w:pPr>
        <w:sectPr>
          <w:pgSz w:w="11900" w:h="16857" w:orient="portrait"/>
          <w:cols w:equalWidth="0" w:num="1">
            <w:col w:w="9019"/>
          </w:cols>
          <w:pgMar w:left="1440" w:top="144" w:right="1440" w:bottom="0" w:gutter="0" w:footer="0" w:header="0"/>
        </w:sectPr>
      </w:pPr>
    </w:p>
    <w:bookmarkStart w:id="109" w:name="page110"/>
    <w:bookmarkEnd w:id="109"/>
    <w:p>
      <w:pPr>
        <w:spacing w:after="0" w:line="121" w:lineRule="exact"/>
        <w:rPr>
          <w:sz w:val="20"/>
          <w:szCs w:val="20"/>
          <w:color w:val="auto"/>
        </w:rPr>
      </w:pPr>
    </w:p>
    <w:p>
      <w:pPr>
        <w:ind w:left="1660" w:right="1559"/>
        <w:spacing w:after="0" w:line="233" w:lineRule="auto"/>
        <w:rPr>
          <w:sz w:val="20"/>
          <w:szCs w:val="20"/>
          <w:color w:val="auto"/>
        </w:rPr>
      </w:pPr>
      <w:r>
        <w:rPr>
          <w:rFonts w:ascii="Times New Roman" w:cs="Times New Roman" w:eastAsia="Times New Roman" w:hAnsi="Times New Roman"/>
          <w:sz w:val="14"/>
          <w:szCs w:val="14"/>
          <w:color w:val="auto"/>
        </w:rPr>
        <w:t>Condition as of the date of such change in control and the shares subject to the Market Capitalization Option shall satisfy the service-based condition in accordance with the terms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6" w:lineRule="exact"/>
        <w:rPr>
          <w:sz w:val="20"/>
          <w:szCs w:val="20"/>
          <w:color w:val="auto"/>
        </w:rPr>
      </w:pPr>
    </w:p>
    <w:p>
      <w:pPr>
        <w:ind w:left="1660" w:right="1299" w:hanging="249"/>
        <w:spacing w:after="0" w:line="271" w:lineRule="auto"/>
        <w:tabs>
          <w:tab w:leader="none" w:pos="16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 Market Capitalization Milestone Condition was achieved prior to the change in control and the corresponding portion of the Market Capitalization Option is assumed, the Market Capitalization Option will continue to satisfy the service-based condition in accordance with the terms described above; and</w:t>
      </w:r>
    </w:p>
    <w:p>
      <w:pPr>
        <w:spacing w:after="0" w:line="270" w:lineRule="exact"/>
        <w:rPr>
          <w:rFonts w:ascii="Times New Roman" w:cs="Times New Roman" w:eastAsia="Times New Roman" w:hAnsi="Times New Roman"/>
          <w:sz w:val="14"/>
          <w:szCs w:val="14"/>
          <w:color w:val="auto"/>
        </w:rPr>
      </w:pPr>
    </w:p>
    <w:p>
      <w:pPr>
        <w:ind w:left="1660" w:right="1179" w:hanging="249"/>
        <w:spacing w:after="0" w:line="274" w:lineRule="auto"/>
        <w:tabs>
          <w:tab w:leader="none" w:pos="16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portion of the Market Capitalization Option is not assumed in connection with such change in control, the corresponding portion that has achieved a Market Capitalization Milestone Condition shall become fully vested and exercisable as of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If Mr. Latimer is terminated by us without cause, by Mr. Latimer for good reason, or due to Mr. Latimer’s death or disability:</w:t>
      </w:r>
    </w:p>
    <w:p>
      <w:pPr>
        <w:spacing w:after="0" w:line="81" w:lineRule="exact"/>
        <w:rPr>
          <w:sz w:val="20"/>
          <w:szCs w:val="20"/>
          <w:color w:val="auto"/>
        </w:rPr>
      </w:pPr>
    </w:p>
    <w:p>
      <w:pPr>
        <w:ind w:left="1660" w:right="1179" w:hanging="249"/>
        <w:spacing w:after="0" w:line="274" w:lineRule="auto"/>
        <w:tabs>
          <w:tab w:leader="none" w:pos="16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Market Capitalization Milestone Condition was satisfied prior to the termination date, the portion of the Market Capitalization Option subject to such condition will become fully vested and exercisable as of the date of such termination; and</w:t>
      </w:r>
    </w:p>
    <w:p>
      <w:pPr>
        <w:spacing w:after="0" w:line="92" w:lineRule="exact"/>
        <w:rPr>
          <w:rFonts w:ascii="Times New Roman" w:cs="Times New Roman" w:eastAsia="Times New Roman" w:hAnsi="Times New Roman"/>
          <w:sz w:val="14"/>
          <w:szCs w:val="14"/>
          <w:color w:val="auto"/>
        </w:rPr>
      </w:pPr>
    </w:p>
    <w:p>
      <w:pPr>
        <w:ind w:left="1660" w:right="1199" w:hanging="249"/>
        <w:spacing w:after="0" w:line="261" w:lineRule="auto"/>
        <w:tabs>
          <w:tab w:leader="none" w:pos="16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Market Capitalization Milestone Condition was not satisfied prior to the termination date, then the portion of the Market Capitalization Option subject to such Market Capitalization Milestone Condition will remain outstanding until the earlier of (i) the two-year anniversary of such termination, and (ii) (A) the fifth anniversary of the grant date (with respect to the $20 billion Market Capitalization Milestone Condition) or</w:t>
      </w:r>
    </w:p>
    <w:p>
      <w:pPr>
        <w:ind w:left="1660" w:right="129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the expiration date of the Market Capitalization Option. During this period, such portion of the option will be eligible to vest upon the earlier of the achievement of the applicable milestone condition and a change in control (in accordance with the terms described above), but the number of shares that vest and become exercisable (if any) will be prorated based on the portion of the period prior to vesting during which Mr. Latimer was employed.</w:t>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Policies and Practices Related to the Timing of Grants of Certain Equity-Based Awards</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Prior to the completion of this offering, we have not had any material nonpublic information, and neither we, our board nor our compensation committee has adopted any policy or otherwise considered any material nonpublic information when granting stock options. Following the completion of this offering, we will consider the timing of the disclosure of any material nonpublic information when granting stock options.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2026 Incentive Award Plan</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this offering, we adopted, and our stockholders approved, the 2026 Incentive Award Plan, or the 2026 Plan, in order to facilitate the grant of equity and cash incentives to directors, employees (including our named executive officers) and consultants of our Company and our subsidiaries, and to enable our Company and our subsidiaries to obtain and retain services of these individuals, which is essential to our long-term success. For additional information about the 2026 Plan, please see the section titled “—2026 Incentive Award Plan” below.</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Elements of Compensation and Compensation Policies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Retirement Plans</w:t>
      </w:r>
    </w:p>
    <w:p>
      <w:pPr>
        <w:spacing w:after="0" w:line="14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currently maintain the Fervo Energy 401(k) plan, or the 401(k) plan, which is a tax-qualified retirement savings plan for our employees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6% of each participating employee’s eligible compensation, and these safe harbor matching contributions are fully vested as of the date on which the contribution is made. We believe that providing a vehicle for tax-deferred retirement savings through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Health and Welfare Benefits and Perquisites</w:t>
      </w:r>
    </w:p>
    <w:p>
      <w:pPr>
        <w:spacing w:after="0" w:line="142" w:lineRule="exact"/>
        <w:rPr>
          <w:sz w:val="20"/>
          <w:szCs w:val="20"/>
          <w:color w:val="auto"/>
        </w:rPr>
      </w:pPr>
    </w:p>
    <w:p>
      <w:pPr>
        <w:jc w:val="both"/>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All of our full-time employees, including our named executive officers, are eligible to participate in our health and welfare plans, including medical, dental and vision benefits; short-term and long-term disability insurance; life and AD&amp;D insurance; employee assistance plan; and a travel assistance program.</w:t>
      </w:r>
    </w:p>
    <w:p>
      <w:pPr>
        <w:spacing w:after="0" w:line="93" w:lineRule="exact"/>
        <w:rPr>
          <w:sz w:val="20"/>
          <w:szCs w:val="20"/>
          <w:color w:val="auto"/>
        </w:rPr>
      </w:pPr>
    </w:p>
    <w:p>
      <w:pPr>
        <w:ind w:left="1160" w:right="1979" w:firstLine="258"/>
        <w:spacing w:after="0" w:line="292" w:lineRule="auto"/>
        <w:rPr>
          <w:sz w:val="20"/>
          <w:szCs w:val="20"/>
          <w:color w:val="auto"/>
        </w:rPr>
      </w:pPr>
      <w:r>
        <w:rPr>
          <w:rFonts w:ascii="Times New Roman" w:cs="Times New Roman" w:eastAsia="Times New Roman" w:hAnsi="Times New Roman"/>
          <w:sz w:val="14"/>
          <w:szCs w:val="14"/>
          <w:color w:val="auto"/>
        </w:rPr>
        <w:t>We believe the perquisites described above are necessary and appropriate to provide a competitive compensation package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Certain of our employees, including each of our named executive officers, are also eligible for executive coaching services paid by the Company at a rate of $2,500 per month. While Mr. Latimer did not receive any executive coaching services during 2025, Dr. Norbeck and Mr. Ulrey utilized these services. We believe the executive coaching services help our named executive officers strengthen their leadership skill and more effectively</w:t>
      </w:r>
    </w:p>
    <w:p>
      <w:pPr>
        <w:sectPr>
          <w:pgSz w:w="11900" w:h="16960" w:orient="portrait"/>
          <w:cols w:equalWidth="0" w:num="1">
            <w:col w:w="9019"/>
          </w:cols>
          <w:pgMar w:left="1440" w:top="94" w:right="1440" w:bottom="0" w:gutter="0" w:footer="0" w:header="0"/>
        </w:sectPr>
      </w:pPr>
    </w:p>
    <w:bookmarkStart w:id="110" w:name="page111"/>
    <w:bookmarkEnd w:id="11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lead the Company.</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142"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The following table summarizes the number of shares of common stock underlying outstanding stock options held by each named executive officer as of December 31, 2025. Each stock option listed in the following table was granted under the 2019 Plan and, following the completion of this offering, will cover shares of our Class A common stock. In addition, following the completion of this offering, shares of Class A common stock received by Mr. Latimer and Dr. Norbeck in connection with the exercise of their stock options may be exchanged for shares of our Class B common stock. The awards described below have been adjusted to reflect the Stock Split, which will occur upon the filing of our Amended Charter after the effectiveness of the registration statement to which this offering relates and prior to the completion of this offering.</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20"/>
              <w:spacing w:after="0" w:line="10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840" w:type="dxa"/>
            <w:vAlign w:val="bottom"/>
            <w:gridSpan w:val="2"/>
          </w:tcPr>
          <w:p>
            <w:pPr>
              <w:jc w:val="center"/>
              <w:ind w:right="60"/>
              <w:spacing w:after="0" w:line="10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Vesting</w:t>
            </w:r>
          </w:p>
        </w:tc>
        <w:tc>
          <w:tcPr>
            <w:tcW w:w="760" w:type="dxa"/>
            <w:vAlign w:val="bottom"/>
            <w:gridSpan w:val="2"/>
          </w:tcPr>
          <w:p>
            <w:pPr>
              <w:jc w:val="center"/>
              <w:ind w:right="40"/>
              <w:spacing w:after="0" w:line="102"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840" w:type="dxa"/>
            <w:vAlign w:val="bottom"/>
            <w:gridSpan w:val="2"/>
          </w:tcPr>
          <w:p>
            <w:pPr>
              <w:jc w:val="center"/>
              <w:ind w:right="40"/>
              <w:spacing w:after="0" w:line="102"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60" w:type="dxa"/>
            <w:vAlign w:val="bottom"/>
            <w:gridSpan w:val="2"/>
          </w:tcPr>
          <w:p>
            <w:pPr>
              <w:jc w:val="center"/>
              <w:ind w:right="4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840" w:type="dxa"/>
            <w:vAlign w:val="bottom"/>
            <w:gridSpan w:val="2"/>
          </w:tcPr>
          <w:p>
            <w:pPr>
              <w:jc w:val="center"/>
              <w:ind w:right="4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760" w:type="dxa"/>
            <w:vAlign w:val="bottom"/>
            <w:gridSpan w:val="2"/>
            <w:vMerge w:val="continue"/>
          </w:tcPr>
          <w:p>
            <w:pPr>
              <w:spacing w:after="0"/>
              <w:rPr>
                <w:sz w:val="8"/>
                <w:szCs w:val="8"/>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Option Expiration</w:t>
            </w:r>
          </w:p>
        </w:tc>
        <w:tc>
          <w:tcPr>
            <w:tcW w:w="0" w:type="dxa"/>
            <w:vAlign w:val="bottom"/>
          </w:tcPr>
          <w:p>
            <w:pPr>
              <w:spacing w:after="0"/>
              <w:rPr>
                <w:sz w:val="1"/>
                <w:szCs w:val="1"/>
                <w:color w:val="auto"/>
              </w:rPr>
            </w:pPr>
          </w:p>
        </w:tc>
      </w:tr>
      <w:tr>
        <w:trPr>
          <w:trHeight w:val="103"/>
        </w:trPr>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7"/>
              </w:rPr>
              <w:t>Commencement</w:t>
            </w:r>
          </w:p>
        </w:tc>
        <w:tc>
          <w:tcPr>
            <w:tcW w:w="7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9"/>
              </w:rPr>
              <w:t>Options (#)</w:t>
            </w:r>
          </w:p>
        </w:tc>
        <w:tc>
          <w:tcPr>
            <w:tcW w:w="84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9"/>
              </w:rPr>
              <w:t>Options (#)</w:t>
            </w:r>
          </w:p>
        </w:tc>
        <w:tc>
          <w:tcPr>
            <w:tcW w:w="7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2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40" w:type="dxa"/>
            <w:vAlign w:val="bottom"/>
          </w:tcPr>
          <w:p>
            <w:pPr>
              <w:spacing w:after="0"/>
              <w:rPr>
                <w:sz w:val="11"/>
                <w:szCs w:val="11"/>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w w:val="98"/>
              </w:rPr>
              <w:t>Grant Date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Price ($)</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Date</w:t>
            </w:r>
          </w:p>
        </w:tc>
        <w:tc>
          <w:tcPr>
            <w:tcW w:w="0" w:type="dxa"/>
            <w:vAlign w:val="bottom"/>
          </w:tcPr>
          <w:p>
            <w:pPr>
              <w:spacing w:after="0"/>
              <w:rPr>
                <w:sz w:val="1"/>
                <w:szCs w:val="1"/>
                <w:color w:val="auto"/>
              </w:rPr>
            </w:pPr>
          </w:p>
        </w:tc>
      </w:tr>
      <w:tr>
        <w:trPr>
          <w:trHeight w:val="132"/>
        </w:trPr>
        <w:tc>
          <w:tcPr>
            <w:tcW w:w="1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7"/>
              </w:rPr>
              <w:t>Timothy Latimer</w:t>
            </w:r>
            <w:r>
              <w:rPr>
                <w:rFonts w:ascii="Times New Roman" w:cs="Times New Roman" w:eastAsia="Times New Roman" w:hAnsi="Times New Roman"/>
                <w:sz w:val="11"/>
                <w:szCs w:val="11"/>
                <w:color w:val="B4B4B4"/>
                <w:w w:val="97"/>
              </w:rPr>
              <w:t>...............</w:t>
            </w:r>
          </w:p>
        </w:tc>
        <w:tc>
          <w:tcPr>
            <w:tcW w:w="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July 14, 2023</w:t>
            </w:r>
          </w:p>
        </w:tc>
        <w:tc>
          <w:tcPr>
            <w:tcW w:w="2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January 1, 2023</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1,258,950</w:t>
            </w:r>
          </w:p>
        </w:tc>
        <w:tc>
          <w:tcPr>
            <w:tcW w:w="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143,880</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July 13, 2033</w:t>
            </w:r>
          </w:p>
        </w:tc>
        <w:tc>
          <w:tcPr>
            <w:tcW w:w="0" w:type="dxa"/>
            <w:vAlign w:val="bottom"/>
          </w:tcPr>
          <w:p>
            <w:pPr>
              <w:spacing w:after="0"/>
              <w:rPr>
                <w:sz w:val="1"/>
                <w:szCs w:val="1"/>
                <w:color w:val="auto"/>
              </w:rPr>
            </w:pPr>
          </w:p>
        </w:tc>
      </w:tr>
      <w:tr>
        <w:trPr>
          <w:trHeight w:val="118"/>
        </w:trPr>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ind w:left="40"/>
              <w:spacing w:after="0" w:line="118" w:lineRule="exact"/>
              <w:rPr>
                <w:sz w:val="20"/>
                <w:szCs w:val="20"/>
                <w:color w:val="auto"/>
              </w:rPr>
            </w:pPr>
            <w:r>
              <w:rPr>
                <w:rFonts w:ascii="Times New Roman" w:cs="Times New Roman" w:eastAsia="Times New Roman" w:hAnsi="Times New Roman"/>
                <w:sz w:val="11"/>
                <w:szCs w:val="11"/>
                <w:color w:val="auto"/>
              </w:rPr>
              <w:t>December 29,</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December 29, 2025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2,391,947</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5.91</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December 28, 2035</w:t>
            </w:r>
          </w:p>
        </w:tc>
        <w:tc>
          <w:tcPr>
            <w:tcW w:w="0" w:type="dxa"/>
            <w:vAlign w:val="bottom"/>
          </w:tcPr>
          <w:p>
            <w:pPr>
              <w:spacing w:after="0"/>
              <w:rPr>
                <w:sz w:val="1"/>
                <w:szCs w:val="1"/>
                <w:color w:val="auto"/>
              </w:rPr>
            </w:pPr>
          </w:p>
        </w:tc>
      </w:tr>
      <w:tr>
        <w:trPr>
          <w:trHeight w:val="150"/>
        </w:trPr>
        <w:tc>
          <w:tcPr>
            <w:tcW w:w="12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6"/>
              </w:rPr>
              <w:t xml:space="preserve">Jack Norbeck, Ph.D. </w:t>
            </w:r>
            <w:r>
              <w:rPr>
                <w:rFonts w:ascii="Times New Roman" w:cs="Times New Roman" w:eastAsia="Times New Roman" w:hAnsi="Times New Roman"/>
                <w:sz w:val="11"/>
                <w:szCs w:val="11"/>
                <w:color w:val="B4B4B4"/>
                <w:w w:val="96"/>
              </w:rPr>
              <w:t>.........</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July 14, 2023</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January 1,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629,475</w:t>
            </w:r>
          </w:p>
        </w:tc>
        <w:tc>
          <w:tcPr>
            <w:tcW w:w="40" w:type="dxa"/>
            <w:vAlign w:val="bottom"/>
          </w:tcPr>
          <w:p>
            <w:pPr>
              <w:spacing w:after="0"/>
              <w:rPr>
                <w:sz w:val="13"/>
                <w:szCs w:val="1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71,940</w:t>
            </w:r>
          </w:p>
        </w:tc>
        <w:tc>
          <w:tcPr>
            <w:tcW w:w="4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July 13, 2033</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December 29,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December 29, 2025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359,700</w:t>
            </w:r>
          </w:p>
        </w:tc>
        <w:tc>
          <w:tcPr>
            <w:tcW w:w="4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5.91</w:t>
            </w:r>
          </w:p>
        </w:tc>
        <w:tc>
          <w:tcPr>
            <w:tcW w:w="4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December 28, 2035</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6"/>
              </w:rPr>
              <w:t xml:space="preserve">David Ulrey </w:t>
            </w:r>
            <w:r>
              <w:rPr>
                <w:rFonts w:ascii="Times New Roman" w:cs="Times New Roman" w:eastAsia="Times New Roman" w:hAnsi="Times New Roman"/>
                <w:sz w:val="11"/>
                <w:szCs w:val="11"/>
                <w:color w:val="B4B4B4"/>
                <w:w w:val="96"/>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June 28, 2021</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June 16, 2021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359,700</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0.40</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June 27, 2031</w:t>
            </w:r>
          </w:p>
        </w:tc>
        <w:tc>
          <w:tcPr>
            <w:tcW w:w="0" w:type="dxa"/>
            <w:vAlign w:val="bottom"/>
          </w:tcPr>
          <w:p>
            <w:pPr>
              <w:spacing w:after="0"/>
              <w:rPr>
                <w:sz w:val="1"/>
                <w:szCs w:val="1"/>
                <w:color w:val="auto"/>
              </w:rPr>
            </w:pPr>
          </w:p>
        </w:tc>
      </w:tr>
      <w:tr>
        <w:trPr>
          <w:trHeight w:val="118"/>
        </w:trPr>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ind w:left="40"/>
              <w:spacing w:after="0" w:line="119" w:lineRule="exact"/>
              <w:rPr>
                <w:sz w:val="20"/>
                <w:szCs w:val="20"/>
                <w:color w:val="auto"/>
              </w:rPr>
            </w:pPr>
            <w:r>
              <w:rPr>
                <w:rFonts w:ascii="Times New Roman" w:cs="Times New Roman" w:eastAsia="Times New Roman" w:hAnsi="Times New Roman"/>
                <w:sz w:val="11"/>
                <w:szCs w:val="11"/>
                <w:color w:val="auto"/>
              </w:rPr>
              <w:t>November 29,</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2022</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November 29,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249,541</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74,188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November 28, 2032</w:t>
            </w: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May 13, 2024</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May 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142,380</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217,319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1.37</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May 12, 2034</w:t>
            </w:r>
          </w:p>
        </w:tc>
        <w:tc>
          <w:tcPr>
            <w:tcW w:w="0" w:type="dxa"/>
            <w:vAlign w:val="bottom"/>
          </w:tcPr>
          <w:p>
            <w:pPr>
              <w:spacing w:after="0"/>
              <w:rPr>
                <w:sz w:val="1"/>
                <w:szCs w:val="1"/>
                <w:color w:val="auto"/>
              </w:rPr>
            </w:pPr>
          </w:p>
        </w:tc>
      </w:tr>
      <w:tr>
        <w:trPr>
          <w:trHeight w:val="118"/>
        </w:trPr>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ind w:left="40"/>
              <w:spacing w:after="0" w:line="119" w:lineRule="exact"/>
              <w:rPr>
                <w:sz w:val="20"/>
                <w:szCs w:val="20"/>
                <w:color w:val="auto"/>
              </w:rPr>
            </w:pPr>
            <w:r>
              <w:rPr>
                <w:rFonts w:ascii="Times New Roman" w:cs="Times New Roman" w:eastAsia="Times New Roman" w:hAnsi="Times New Roman"/>
                <w:sz w:val="11"/>
                <w:szCs w:val="11"/>
                <w:color w:val="auto"/>
              </w:rPr>
              <w:t>December 29,</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December 29, 2025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539,550</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5.91</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December 28, 2035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4" w:lineRule="exact"/>
        <w:rPr>
          <w:sz w:val="20"/>
          <w:szCs w:val="20"/>
          <w:color w:val="auto"/>
        </w:rPr>
      </w:pPr>
    </w:p>
    <w:p>
      <w:pPr>
        <w:ind w:left="1420" w:right="1299" w:hanging="267"/>
        <w:spacing w:after="0" w:line="263" w:lineRule="auto"/>
        <w:tabs>
          <w:tab w:leader="none" w:pos="142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option vests and becomes exercisable subject to satisfaction of both a milestone-based vesting condition and a service-based vesting condition. The milestone-based vesting condition was satisfied on October 13, 2025. The service-based vesting condition vests over a 39-month period, subject to the grantee’s continued service through the applicable vesting date, with the shares underlying the option in 39 substantially equal installments on each monthly anniversary of the vesting commencement date.</w:t>
      </w:r>
    </w:p>
    <w:p>
      <w:pPr>
        <w:ind w:left="1420" w:right="1259" w:hanging="267"/>
        <w:spacing w:after="0" w:line="254" w:lineRule="auto"/>
        <w:tabs>
          <w:tab w:leader="none" w:pos="142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option vests and becomes exercisable over a four-year period, subject to the executive’s continued service through the applicable vesting date, as follows: (i) 25% of the shares underlying the option on the first annual anniversary of the vesting commencement date and</w:t>
      </w:r>
    </w:p>
    <w:p>
      <w:pPr>
        <w:ind w:left="1420" w:right="1879" w:hanging="9"/>
        <w:spacing w:after="0" w:line="264" w:lineRule="auto"/>
        <w:tabs>
          <w:tab w:leader="none" w:pos="1588" w:val="left"/>
        </w:tabs>
        <w:numPr>
          <w:ilvl w:val="1"/>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75% of the shares underlying the option in 36 substantially equal installments on each monthly anniversary of the vesting commencement date thereafter.</w:t>
      </w:r>
    </w:p>
    <w:p>
      <w:pPr>
        <w:ind w:left="1420" w:right="1259" w:hanging="267"/>
        <w:spacing w:after="0" w:line="258" w:lineRule="auto"/>
        <w:tabs>
          <w:tab w:leader="none" w:pos="142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option vests and becomes exercisable over a four-year period, subject to the executive’s continued service through the applicable vesting date, as follows: (i) 25% of the shares underlying the option on the first annual anniversary of the vesting commencement date and</w:t>
      </w:r>
    </w:p>
    <w:p>
      <w:pPr>
        <w:ind w:left="1420" w:right="1259" w:hanging="9"/>
        <w:spacing w:after="0" w:line="273" w:lineRule="auto"/>
        <w:tabs>
          <w:tab w:leader="none" w:pos="1588" w:val="left"/>
        </w:tabs>
        <w:numPr>
          <w:ilvl w:val="1"/>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75% of the shares underlying the option in 36 substantially equal installments on each monthly anniversary of the vesting commencement date thereafter. In addition, the option will vest in full upon a termination of service by the Company without cause within 12 months following a change in control.</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Additional Narrative Disclosure Regarding Executive Compensation Matters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Arrangements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have not entered into any written employment agreement with Mr. Latimer.</w:t>
      </w:r>
    </w:p>
    <w:p>
      <w:pPr>
        <w:spacing w:after="0" w:line="140"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However, Mr. Latimer is party to an invention, non-disclosure and non-solicitation agreement, which includes an indefinite company information non-disclosure covenant and an employee non-solicitation covenant that lasts during employment and for one year thereafter.</w:t>
      </w:r>
    </w:p>
    <w:p>
      <w:pPr>
        <w:spacing w:after="0" w:line="93"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Each of Dr. Norbeck and Mr. Ulrey is party to an offer letter with the Company that provides for at-will employment that continues until terminated at any time by either party. Pursuant to their offer letters, Dr. Norbeck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and Mr. Ulrey are eligible to participate in the benefit plans and programs maintained by us for the benefit of our employees. Their offer letters do not provide for severance payments on termination of employment.</w:t>
      </w:r>
    </w:p>
    <w:p>
      <w:pPr>
        <w:spacing w:after="0" w:line="81"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Dr. Norbeck and Mr. Ulrey also entered into the Company’s standard form of invention and non-disclosure agreement, which includes an indefinite company information non-disclosure covenant.</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Plan</w:t>
      </w:r>
    </w:p>
    <w:p>
      <w:pPr>
        <w:spacing w:after="0" w:line="144"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this offering, we adopted the Executive Severance Plan, which provides for the payment of certain cash severance and other benefits to participants, including each of our named executive officers, in the event of a qualifying termination of employment with us.</w:t>
      </w:r>
    </w:p>
    <w:p>
      <w:pPr>
        <w:spacing w:after="0" w:line="93"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Under the Executive Severance Plan, if the executive’s employment is terminated by us without “cause” or by the executive for “good reason” outside of a change in control period (described below), then the executive will be eligible to receive the following payments and benefits:</w:t>
      </w:r>
    </w:p>
    <w:p>
      <w:pPr>
        <w:spacing w:after="0" w:line="93" w:lineRule="exact"/>
        <w:rPr>
          <w:sz w:val="20"/>
          <w:szCs w:val="20"/>
          <w:color w:val="auto"/>
        </w:rPr>
      </w:pPr>
    </w:p>
    <w:p>
      <w:pPr>
        <w:ind w:left="1660" w:right="1199" w:hanging="249"/>
        <w:spacing w:after="0" w:line="292"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100% (or 200% for Mr. Latimer) of the executive’s then-current annual base salary (disregarding any reduction which gives rise to “good reason”);</w:t>
      </w:r>
    </w:p>
    <w:p>
      <w:pPr>
        <w:spacing w:after="0" w:line="80"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one times (or two times for Mr. Latimer) the executive’s annual target bonus for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the executive’s earned but unpaid annual bonus for the annual bonus performance period preceding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the executive’s pro-rata target annual bonus for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Company-paid COBRA premium payments for the executive and the executive’s eligible dependents for up to 12 months (or 24 months for Mr. Latimer);</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and exercisability of the portion of the executive’s time-vesting equity awards that would have vested over the 12-month period following the termination date (assuming such time-vesting equity awards vest in equal daily installments); and</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performance-vesting equity awards will remain outstanding and eligible to vest following the termination</w:t>
      </w:r>
    </w:p>
    <w:p>
      <w:pPr>
        <w:sectPr>
          <w:pgSz w:w="11900" w:h="16842" w:orient="portrait"/>
          <w:cols w:equalWidth="0" w:num="1">
            <w:col w:w="9019"/>
          </w:cols>
          <w:pgMar w:left="1440" w:top="157" w:right="1440" w:bottom="0" w:gutter="0" w:footer="0" w:header="0"/>
        </w:sectPr>
      </w:pPr>
    </w:p>
    <w:bookmarkStart w:id="111" w:name="page112"/>
    <w:bookmarkEnd w:id="111"/>
    <w:p>
      <w:pPr>
        <w:ind w:left="1660" w:right="1659"/>
        <w:spacing w:after="0" w:line="275" w:lineRule="auto"/>
        <w:rPr>
          <w:sz w:val="20"/>
          <w:szCs w:val="20"/>
          <w:color w:val="auto"/>
        </w:rPr>
      </w:pPr>
      <w:r>
        <w:rPr>
          <w:rFonts w:ascii="Times New Roman" w:cs="Times New Roman" w:eastAsia="Times New Roman" w:hAnsi="Times New Roman"/>
          <w:sz w:val="14"/>
          <w:szCs w:val="14"/>
          <w:color w:val="auto"/>
        </w:rPr>
        <w:t>date, based on actual performance and pro-rated to reflect the portion of the performance period the executive was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-204470</wp:posOffset>
            </wp:positionV>
            <wp:extent cx="7160260"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change in control period generally starts 90 days prior to the signing or announcement of a transaction that, if consummated, would be a “change in control” and ends on the two-year anniversary of a change in control. If the executive’s employment is terminated by us without “cause” or by the executive for good “reason” during the change in control period, the executive will be eligible to receive the following payments and benefits:</w:t>
      </w:r>
    </w:p>
    <w:p>
      <w:pPr>
        <w:spacing w:after="0" w:line="97" w:lineRule="exact"/>
        <w:rPr>
          <w:sz w:val="20"/>
          <w:szCs w:val="20"/>
          <w:color w:val="auto"/>
        </w:rPr>
      </w:pPr>
    </w:p>
    <w:p>
      <w:pPr>
        <w:ind w:left="1660" w:right="1559" w:hanging="249"/>
        <w:spacing w:after="0" w:line="292" w:lineRule="auto"/>
        <w:tabs>
          <w:tab w:leader="none" w:pos="16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200% (or 300% for Mr. Latimer) of the executive’s then-current annual base salary;</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two times (or three times for Mr. Latimer) the executive’s annual target bonus for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the executive’s earned but unpaid annual bonus for the annual bonus performance period preceding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cash payment equal to the executive’s pro-rata target annual bonus for the annual bonus performance period in which the termination date occurs;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Company-paid COBRA premium payments for the executive and the executive’s eligible dependents for up to 24 months (or 36 months for Mr. Latimer);</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99" w:hanging="249"/>
        <w:spacing w:after="0" w:line="292" w:lineRule="auto"/>
        <w:tabs>
          <w:tab w:leader="none" w:pos="16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vesting and, as applicable, exercisability of the executive’s then-unvested time-vesting equity awards; and</w:t>
      </w:r>
    </w:p>
    <w:p>
      <w:pPr>
        <w:spacing w:after="0" w:line="80"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of the executive’s performance-vesting equity awards, at the greater of target and actual level of performance (unless otherwise provided in the applicable award agreement).</w:t>
      </w:r>
    </w:p>
    <w:p>
      <w:pPr>
        <w:spacing w:after="0" w:line="8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cash payments generally will be made in a lump sum within 60 days following the termination date (or, if later, upon a change in control). An executive’s right to receive the severance payments and benefits described above is subject to the executive’s execution and, as applicable, non-revocation of a general release of claims in our favor, and the executive’s continued compliance with any applicable restrictive covenants.</w:t>
      </w:r>
    </w:p>
    <w:p>
      <w:pPr>
        <w:spacing w:after="0" w:line="97"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In addition, in the event that any payment or benefit under the Executive Severance Plan, together with any other amounts paid to the executive, would subject the executive to an excise tax under Section 4999 of the Internal Revenue Code, then such payments or benefits will be reduced to the extent that such reduction would produce a better net after-tax result for the executive.</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 Tax Gross-Ups</w:t>
      </w:r>
    </w:p>
    <w:p>
      <w:pPr>
        <w:spacing w:after="0" w:line="144"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We do not make gross-up payments to cover our named executive officers’ personal income taxes that may pertain to any of the compensation or perquisites we pay or provide.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Anti-Hedging Policies</w:t>
      </w:r>
    </w:p>
    <w:p>
      <w:pPr>
        <w:spacing w:after="0" w:line="144"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We expect to adopt a policy that will prohibit our employees, including all executive officers, and members of our board of directors from engaging in transactions that are considered to hedge or offset the financial impact of holding our Class A common stock.</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Clawback Policy</w:t>
      </w:r>
    </w:p>
    <w:p>
      <w:pPr>
        <w:spacing w:after="0" w:line="144"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In connection with this offering, our board of directors adopted a compensation recovery policy that complies with the listing standards of NASDAQ, as required by the Dodd-Frank Act.</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Equity Incentive Award Plans</w:t>
      </w:r>
    </w:p>
    <w:p>
      <w:pPr>
        <w:spacing w:after="0" w:line="142" w:lineRule="exact"/>
        <w:rPr>
          <w:sz w:val="20"/>
          <w:szCs w:val="20"/>
          <w:color w:val="auto"/>
        </w:rPr>
      </w:pPr>
    </w:p>
    <w:p>
      <w:pPr>
        <w:jc w:val="both"/>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The following summarizes the material terms of the 2019 Plan and the 2026 Plan. In addition, the following summarizes the material terms of the ESPP, which is a tax-qualified employee stock purchase plan in which our named executive officers will be eligible to participate following the completion of this offering.</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2019 Stock Incentive Plan</w:t>
      </w:r>
    </w:p>
    <w:p>
      <w:pPr>
        <w:spacing w:after="0" w:line="144"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Prior to the completion of this offering, we maintained the 2019 Plan, which was most recently amended in May 2026. The material terms of the 2019 Plan are summarized below. In addition, in connection with this offering, the 2019 Plan and each stock option granted under the 2019 Plan were reclassified to cover shares of our Class A common stock; however, shares of Class A common stock received by Mr. Latimer and Dr. Norbeck in connection with the exercise of their stock options may be exchanged for shares of our Class B common stock.</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Termination</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In connection with this offering, the 2019 Plan terminated and we will not make any further awards under the 2019 Plan. However, any outstanding awards granted under the 2019 Plan will remain outstanding, subject to the terms of the 2019 Plan and applicable award agreements. Shares of our common stock subject to awards granted under the 2019 Plan that expire unexercised or are cancelled, terminated, or forfeited in any manner without issuance of shares thereunder following the effective date of the 2026 Plan will become available for issuance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94" w:right="1440" w:bottom="0" w:gutter="0" w:footer="0" w:header="0"/>
          <w:type w:val="continuous"/>
        </w:sectPr>
      </w:pPr>
    </w:p>
    <w:bookmarkStart w:id="112" w:name="page113"/>
    <w:bookmarkEnd w:id="112"/>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i w:val="1"/>
          <w:iCs w:val="1"/>
          <w:color w:val="auto"/>
        </w:rPr>
        <w:t>Eligibility and Administration</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Our employees, consultants and non-employee directors are eligible to be granted awards of ISOs, NSOs, stock appreciation rights, restricted stock, restricted stock units and other stock-based awards under the 2019 Plan, subject to the limitations described therein. Our board of directors administers the 2019 Plan as its plan administrator and, subject to the provisions thereof, has the authority to take all actions and make all determinations contemplated by the 2019 Plan and to adopt, amend and repeal such administrative rules, guidelines and practices relating to the 2019 Plan as it deems advisable.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Limitations on Awards and Shares Available</w:t>
      </w:r>
    </w:p>
    <w:p>
      <w:pPr>
        <w:spacing w:after="0" w:line="142"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An aggregate of 34,151,952 shares of our common stock have been authorized for issuance under the 2019 Plan, as adjusted to reflect the Stock Split that will occur upon the effectiveness of this Registration Statement on Form S-1. The shares of our common stock issued under the 2019 Plan may consist in whole or in part of authorized but unissued shares or treasury shares. In the event that an outstanding award expires, is terminated, is surrendered, is cancelled, or is forfeited for any reason, or if shares subject to an award are withheld to satisfy exercise price or tax withholding obligations, then the shares allocable to the unexercised or otherwise expired, terminated, surrendered, cancelled, or forfeited portion of such award, or the shares withheld to satisfy the exercise or purchase price or tax withholding obligation, are currently added back to the common stock available for issuance under the 2019 Plan.</w:t>
      </w: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Awards</w:t>
      </w:r>
    </w:p>
    <w:p>
      <w:pPr>
        <w:spacing w:after="0" w:line="142" w:lineRule="exact"/>
        <w:rPr>
          <w:sz w:val="20"/>
          <w:szCs w:val="20"/>
          <w:color w:val="auto"/>
        </w:rPr>
      </w:pPr>
    </w:p>
    <w:p>
      <w:pPr>
        <w:jc w:val="both"/>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2019 Plan provides for the grant of ISOs, NSOs, stock appreciation rights, restricted stock, restricted stock units and other stock-based awards. All outstanding awards under the 2019 Plan are set forth in award agreements, which detail the terms and conditions of the awards, including any applicable vesting and payment terms and post-termination exercise limitations. A brief description of each award type follows:</w:t>
      </w:r>
    </w:p>
    <w:p>
      <w:pPr>
        <w:spacing w:after="0" w:line="95" w:lineRule="exact"/>
        <w:rPr>
          <w:sz w:val="20"/>
          <w:szCs w:val="20"/>
          <w:color w:val="auto"/>
        </w:rPr>
      </w:pPr>
    </w:p>
    <w:p>
      <w:pPr>
        <w:ind w:left="1660" w:right="1159" w:hanging="249"/>
        <w:spacing w:after="0" w:line="261" w:lineRule="auto"/>
        <w:tabs>
          <w:tab w:leader="none" w:pos="1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Stock options provide for the purchase of shares of our common stock in the future at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 price set on the grant date. ISOs granted under the 2019 Plan, in contrast to NSOs, are subject to and required to be construed in accordance with Section 422 of the Code and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grant date, except with respect to certain substitute awards granted in connection with a corporate transaction. The term of a stock option may not be longer than ten years.</w:t>
      </w:r>
    </w:p>
    <w:p>
      <w:pPr>
        <w:spacing w:after="0" w:line="102" w:lineRule="exact"/>
        <w:rPr>
          <w:rFonts w:ascii="Times New Roman" w:cs="Times New Roman" w:eastAsia="Times New Roman" w:hAnsi="Times New Roman"/>
          <w:sz w:val="14"/>
          <w:szCs w:val="14"/>
          <w:color w:val="auto"/>
        </w:rPr>
      </w:pPr>
    </w:p>
    <w:p>
      <w:pPr>
        <w:ind w:left="1660" w:right="1179" w:hanging="249"/>
        <w:spacing w:after="0" w:line="264" w:lineRule="auto"/>
        <w:tabs>
          <w:tab w:leader="none" w:pos="1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Appreciation Rights </w:t>
      </w:r>
      <w:r>
        <w:rPr>
          <w:rFonts w:ascii="Times New Roman" w:cs="Times New Roman" w:eastAsia="Times New Roman" w:hAnsi="Times New Roman"/>
          <w:sz w:val="14"/>
          <w:szCs w:val="14"/>
          <w:color w:val="auto"/>
        </w:rPr>
        <w:t>. Stock appreciation rights provide for payments to their holders based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increases in the price of our common stock over a set measurement price. The measurement price of any stock appreciation right granted under the 2019 Plan must be at least 100% of the fair market value of the underlying share on the grant date. Stock appreciation rights under the 2019 Plan may be settled in cash or shares of our common stock, or in a combination of both, as determined by the plan administrator. The term of a stock appreciation right may not be longer than ten years.</w:t>
      </w:r>
    </w:p>
    <w:p>
      <w:pPr>
        <w:spacing w:after="0" w:line="97" w:lineRule="exact"/>
        <w:rPr>
          <w:rFonts w:ascii="Times New Roman" w:cs="Times New Roman" w:eastAsia="Times New Roman" w:hAnsi="Times New Roman"/>
          <w:sz w:val="14"/>
          <w:szCs w:val="14"/>
          <w:color w:val="auto"/>
        </w:rPr>
      </w:pPr>
    </w:p>
    <w:p>
      <w:pPr>
        <w:ind w:left="1660" w:right="1179" w:hanging="249"/>
        <w:spacing w:after="0" w:line="261" w:lineRule="auto"/>
        <w:tabs>
          <w:tab w:leader="none" w:pos="1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Stock and RSUs</w:t>
      </w:r>
      <w:r>
        <w:rPr>
          <w:rFonts w:ascii="Times New Roman" w:cs="Times New Roman" w:eastAsia="Times New Roman" w:hAnsi="Times New Roman"/>
          <w:sz w:val="14"/>
          <w:szCs w:val="14"/>
          <w:color w:val="auto"/>
        </w:rPr>
        <w:t>. Restricted stock is an award of nontransferable shares of common stock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certain vesting conditions and other restrictions. RSUs are contractual promises to deliver shares of common stock in the future, which may also remain forfeitable unless and until specified conditions are met and may be accompanied by the right to receive the equivalent value of dividends paid on shares of common stock prior to the delivery of the underlying shares (i.e., dividend equivalent rights). RSUs under the 2019 Plan may be settled in cash or shares of our common stock, or in a combination of both, as determined by the administrator. The plan administrator may provide that settlement of RSUs will be deferred on a mandatory basis or at the election of the participant.</w:t>
      </w:r>
    </w:p>
    <w:p>
      <w:pPr>
        <w:spacing w:after="0" w:line="102" w:lineRule="exact"/>
        <w:rPr>
          <w:rFonts w:ascii="Times New Roman" w:cs="Times New Roman" w:eastAsia="Times New Roman" w:hAnsi="Times New Roman"/>
          <w:sz w:val="14"/>
          <w:szCs w:val="14"/>
          <w:color w:val="auto"/>
        </w:rPr>
      </w:pPr>
    </w:p>
    <w:p>
      <w:pPr>
        <w:ind w:left="1660" w:right="1239" w:hanging="249"/>
        <w:spacing w:after="0" w:line="275" w:lineRule="auto"/>
        <w:tabs>
          <w:tab w:leader="none" w:pos="1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Stock-Based Awards </w:t>
      </w:r>
      <w:r>
        <w:rPr>
          <w:rFonts w:ascii="Times New Roman" w:cs="Times New Roman" w:eastAsia="Times New Roman" w:hAnsi="Times New Roman"/>
          <w:sz w:val="14"/>
          <w:szCs w:val="14"/>
          <w:color w:val="auto"/>
        </w:rPr>
        <w:t>. Other stock-based awards are awards of fully vested shares of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or other awards valued wholly or partially by referring to, or otherwise based on, shares of our common stock or other property. Other stock-based awards may be granted to participants and may also be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39"/>
        <w:spacing w:after="0" w:line="292" w:lineRule="auto"/>
        <w:rPr>
          <w:sz w:val="20"/>
          <w:szCs w:val="20"/>
          <w:color w:val="auto"/>
        </w:rPr>
      </w:pPr>
      <w:r>
        <w:rPr>
          <w:rFonts w:ascii="Times New Roman" w:cs="Times New Roman" w:eastAsia="Times New Roman" w:hAnsi="Times New Roman"/>
          <w:sz w:val="14"/>
          <w:szCs w:val="14"/>
          <w:color w:val="auto"/>
        </w:rPr>
        <w:t>available as a payment form in the settlement of other awards, as standalone payments and as payment in lieu of compensation to which a participant is otherwise entitled.</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Certain Transactions</w:t>
      </w:r>
    </w:p>
    <w:p>
      <w:pPr>
        <w:spacing w:after="0" w:line="142"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In the event of certain changes in our capitalization, the plan administrator may make equitable adjustments to the 2019 Plan and outstanding awards thereunder. In the event of our merger or consolidation with another entity, the transfer or exchange of all of our common stock for cash, securities or other property, or our liquidation or dissolution, the plan administrator has the discretion to provide:</w:t>
      </w:r>
    </w:p>
    <w:p>
      <w:pPr>
        <w:spacing w:after="0" w:line="97" w:lineRule="exact"/>
        <w:rPr>
          <w:sz w:val="20"/>
          <w:szCs w:val="20"/>
          <w:color w:val="auto"/>
        </w:rPr>
      </w:pPr>
    </w:p>
    <w:p>
      <w:pPr>
        <w:ind w:left="1660" w:right="1719" w:hanging="249"/>
        <w:spacing w:after="0" w:line="292" w:lineRule="auto"/>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awards be assumed by, or substituted with substantially equivalent awards of, the acquiring or succeeding corporation (or an affiliate thereof);</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notice to the applicable holders, cancel unexercised and/or unvested awards immediately prior to the transaction unless exercised within a specified period;</w:t>
      </w:r>
    </w:p>
    <w:p>
      <w:pPr>
        <w:spacing w:after="0" w:line="80" w:lineRule="exact"/>
        <w:rPr>
          <w:rFonts w:ascii="Times New Roman" w:cs="Times New Roman" w:eastAsia="Times New Roman" w:hAnsi="Times New Roman"/>
          <w:sz w:val="14"/>
          <w:szCs w:val="14"/>
          <w:color w:val="auto"/>
        </w:rPr>
      </w:pPr>
    </w:p>
    <w:p>
      <w:pPr>
        <w:ind w:left="1660" w:right="1759" w:hanging="249"/>
        <w:spacing w:after="0" w:line="292" w:lineRule="auto"/>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awards to vest and, as applicable, become exercisable, in whole or in part, prior to or upon the transaction;</w:t>
      </w:r>
    </w:p>
    <w:p>
      <w:pPr>
        <w:spacing w:after="0" w:line="80" w:lineRule="exact"/>
        <w:rPr>
          <w:rFonts w:ascii="Times New Roman" w:cs="Times New Roman" w:eastAsia="Times New Roman" w:hAnsi="Times New Roman"/>
          <w:sz w:val="14"/>
          <w:szCs w:val="14"/>
          <w:color w:val="auto"/>
        </w:rPr>
      </w:pPr>
    </w:p>
    <w:p>
      <w:pPr>
        <w:ind w:left="1660" w:right="1219" w:hanging="249"/>
        <w:spacing w:after="0" w:line="268" w:lineRule="auto"/>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transaction provides a cash payment to stockholders, payments to each award holder, for the vested portion of their awards, an amount equal to the excess of the cash price per share over any applicable exercise, measurement, or purchase price (and applicable withholdings), in exchange for termination of the awards;</w:t>
      </w:r>
    </w:p>
    <w:p>
      <w:pPr>
        <w:spacing w:after="0" w:line="97"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liquidation or dissolution, for the conversion of awards into the right to receive liquidation proceeds (net of any applicable exercise, measurement, or purchase price and withholdings); or</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combination of the foregoing.</w:t>
      </w:r>
    </w:p>
    <w:p>
      <w:pPr>
        <w:sectPr>
          <w:pgSz w:w="11900" w:h="16864" w:orient="portrait"/>
          <w:cols w:equalWidth="0" w:num="1">
            <w:col w:w="9019"/>
          </w:cols>
          <w:pgMar w:left="1440" w:top="735" w:right="1440" w:bottom="0" w:gutter="0" w:footer="0" w:header="0"/>
        </w:sectPr>
      </w:pPr>
    </w:p>
    <w:bookmarkStart w:id="113" w:name="page114"/>
    <w:bookmarkEnd w:id="113"/>
    <w:p>
      <w:pPr>
        <w:ind w:left="14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Repricing</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board of directors may, without approval of the stockholders, reduce the exercise price of any outstanding award or cancel any outstanding award in exchange for other awards with an exercise price per share that is less than the exercise price per share of the original award.</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2026 Incentive Award Plan</w:t>
      </w:r>
    </w:p>
    <w:p>
      <w:pPr>
        <w:spacing w:after="0" w:line="144"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this offering, we adopted, and our stockholders approved, the 2026 Plan, under which we may grant equity and cash incentive awards to eligible service providers in order to attract, motivate and retain the talent for which we compete. The material terms of the 2026 Plan are summarized below.</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Eligibility and Administration</w:t>
      </w:r>
    </w:p>
    <w:p>
      <w:pPr>
        <w:spacing w:after="0" w:line="142"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Our employees, consultants and directors and employees and consultants of our subsidiaries are eligible to receive awards under the 2026 Plan. Following the completion of this offering, the 2026 Plan are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subject to the limitations imposed under the 2026 Plan, Section 16 of the Exchange Act, stock exchange rules and other applicable laws. The plan administrator has the authority to take all actions and make all determinations under the 2026 Plan, to interpret the 2026 Plan and award agreements and to adopt, amend and repeal rules for the administration of the 2026 Plan as it deems advisable. The plan administrator also has the authority to determine which eligible service providers receive awards, grant awards and set the terms and conditions of all awards under the 2026 Plan, including any vesting and vesting acceleration provisions, subject to the conditions and limitations in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Limitation on Awards and Shares Available</w:t>
      </w:r>
    </w:p>
    <w:p>
      <w:pPr>
        <w:spacing w:after="0" w:line="142"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initial aggregate number of shares of our common stock available for issuance under the 2026 Plan will equal 10% of the number of fully-diluted shares of our Class A and Class B common stock outstanding as of immediately following the completion of this offering (which is expected to be 35,107,737 shares, based on the initial public offering price of $27.00 per share). In addition, the number of shares of our common stock available for issuance under the 2026 Plan will be subject to an annual increase on the first day of each calendar year beginning on and including January 1, 2027 and ending on and including January 1, 2036, equal to the lesser of (A) 5% of the aggregate number of shares of our Class A and Class B common stock outstanding on the final day of the immediately preceding calendar year and (B) such smaller number of shares as is determined by our board of directors. The maximum number of shares (either Class A or Class B common stock) that may be issued pursuant to the exercise of incentive stock options, or ISOs, granted under the 2026 Plan, will be 500,000,000. Shares issued pursuant to the 2026 Plan may be shares of Class A common stock or Class B common stock, as determined by the plan administrator, and may consist, in whole or in part, of authorized and unissued common stock, treasury common stock or common stock purchased on the open market.</w:t>
      </w:r>
    </w:p>
    <w:p>
      <w:pPr>
        <w:spacing w:after="0" w:line="10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If an award under the 2026 Plan or the 2019 Plan expires, lapses or is terminated, exchanged for or settled in cash, any shares subject to such award (or portion thereof) may, to the extent of such expiration, lapse, termination or cash settlement, be used again for new grants under the 2026 Plan. Shares tendered or withheld to satisfy the purchase or exercise price or tax withholding obligation for any award under the 2019 Plan or 2026 Plan will become available for awards under the 2026 Plan. Further, the payment of dividend equivalents in cash in conjunction with any awards under the 2026 Plan will not reduce the shares available for grant under the 2026 Plan. However, the following shares may not be used again for grant under the 2026 Plan: (i) shares subject to stock appreciation rights, or SARs, that are not issued in connection with the stock settlement of the SAR on exercise and (ii) shares purchased on the open market with the cash proceeds from the exercise of options.</w:t>
      </w:r>
    </w:p>
    <w:p>
      <w:pPr>
        <w:spacing w:after="0" w:line="106"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Awards granted under the 2026 Plan upon the assumption of, or in substitution for, awards authorized or outstanding under a qualifying equity plan maintained by an entity with which we enter into a merger or similar corporate transaction will not reduce the shares available for grant under the 2026 Plan but will count against the maximum number of shares that may be issued upon the exercise of ISOs.</w:t>
      </w:r>
    </w:p>
    <w:p>
      <w:pPr>
        <w:spacing w:after="0" w:line="97"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The 2026 Plan provides that, commencing with calendar year 2027, the sum of any cash compensation and the aggregate grant date fair value (determined as of the date of the grant under Financial Accounting Standards Board Accounting Standards Codification Topic 718, or any successor thereto) of all awards granted to a non-employee director as compensation for services as a non-employee director during any fiscal year, or director limit, generally may not exceed an amount equal to $750,000 (increased to $1,000,000 in the calendar year of a non-employee director’s initial service as a non-employee director or any calendar year during which a non-employee director serves as chair of our board of directors or lead independent director), which limits shall not apply to the compensation for any non-employee director who serves in any capacity in addition to that of a non-employee director for which he or she receives additional compensation or any compensation paid prior to the calendar year following the calendar year in which the 2026 Plan becomes effective.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Awards</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2026 Plan provides for the grant of stock options, including ISOs and nonqualified stock options, or NSOs, SARs, restricted stock, dividend equivalents, restricted stock units, or RSUs, and other stock or cash-based awards. Certain awards under the 2026 Plan may constitute or provide for payment of “nonqualified deferred compensation” under Section 409A of the Code, which may impose additional requirements on the terms and conditions of such awards. All awards under the 2026 Plan will be evidenced by award agreements, which will detail the terms and conditions of the awards, including any applicable vesting and payment terms and post-termination exercise limitations. Awards other than cash awards generally will be settled in shares of our common stock, but the</w:t>
      </w:r>
    </w:p>
    <w:p>
      <w:pPr>
        <w:sectPr>
          <w:pgSz w:w="11900" w:h="16838" w:orient="portrait"/>
          <w:cols w:equalWidth="0" w:num="1">
            <w:col w:w="9019"/>
          </w:cols>
          <w:pgMar w:left="1440" w:top="230" w:right="1440" w:bottom="635" w:gutter="0" w:footer="0" w:header="0"/>
        </w:sectPr>
      </w:pPr>
    </w:p>
    <w:bookmarkStart w:id="114" w:name="page115"/>
    <w:bookmarkEnd w:id="114"/>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-99060</wp:posOffset>
            </wp:positionV>
            <wp:extent cx="7160260"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applicable award agreement may provide for cash settlement of any award. A brief description of each award type follows.</w:t>
      </w:r>
    </w:p>
    <w:p>
      <w:pPr>
        <w:spacing w:after="0" w:line="79" w:lineRule="exact"/>
        <w:rPr>
          <w:sz w:val="20"/>
          <w:szCs w:val="20"/>
          <w:color w:val="auto"/>
        </w:rPr>
      </w:pPr>
    </w:p>
    <w:p>
      <w:pPr>
        <w:ind w:left="1660" w:right="1179" w:hanging="249"/>
        <w:spacing w:after="0" w:line="259" w:lineRule="auto"/>
        <w:tabs>
          <w:tab w:leader="none" w:pos="1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and SARs </w:t>
      </w:r>
      <w:r>
        <w:rPr>
          <w:rFonts w:ascii="Times New Roman" w:cs="Times New Roman" w:eastAsia="Times New Roman" w:hAnsi="Times New Roman"/>
          <w:sz w:val="14"/>
          <w:szCs w:val="14"/>
          <w:color w:val="auto"/>
        </w:rPr>
        <w:t>. Stock options provide for the purchase of shares of our common stock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Unless otherwise determined by our board,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Conditions applicable to stock options and/or SARs may be based on continuing service, the attainment of performance goals and/or such other conditions as the plan administrator may determine.</w:t>
      </w:r>
    </w:p>
    <w:p>
      <w:pPr>
        <w:spacing w:after="0" w:line="106" w:lineRule="exact"/>
        <w:rPr>
          <w:rFonts w:ascii="Times New Roman" w:cs="Times New Roman" w:eastAsia="Times New Roman" w:hAnsi="Times New Roman"/>
          <w:sz w:val="14"/>
          <w:szCs w:val="14"/>
          <w:color w:val="auto"/>
        </w:rPr>
      </w:pPr>
    </w:p>
    <w:p>
      <w:pPr>
        <w:ind w:left="1660" w:right="1159" w:hanging="249"/>
        <w:spacing w:after="0" w:line="260" w:lineRule="auto"/>
        <w:tabs>
          <w:tab w:leader="none" w:pos="1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and RSUs </w:t>
      </w:r>
      <w:r>
        <w:rPr>
          <w:rFonts w:ascii="Times New Roman" w:cs="Times New Roman" w:eastAsia="Times New Roman" w:hAnsi="Times New Roman"/>
          <w:sz w:val="14"/>
          <w:szCs w:val="14"/>
          <w:color w:val="auto"/>
        </w:rPr>
        <w:t>. Restricted stock is an award of nontransferable shares of our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are subject to certain vesting conditions and other restrictions.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2026 Plan. Conditions applicable to restricted stock and RSUs may be based on continuing service, the attainment of performance goals and/or such other conditions as the plan administrator may determine.</w:t>
      </w:r>
    </w:p>
    <w:p>
      <w:pPr>
        <w:spacing w:after="0" w:line="103" w:lineRule="exact"/>
        <w:rPr>
          <w:rFonts w:ascii="Times New Roman" w:cs="Times New Roman" w:eastAsia="Times New Roman" w:hAnsi="Times New Roman"/>
          <w:sz w:val="14"/>
          <w:szCs w:val="14"/>
          <w:color w:val="auto"/>
        </w:rPr>
      </w:pPr>
    </w:p>
    <w:p>
      <w:pPr>
        <w:ind w:left="1660" w:right="1199" w:hanging="249"/>
        <w:spacing w:after="0" w:line="266" w:lineRule="auto"/>
        <w:tabs>
          <w:tab w:leader="none" w:pos="1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Stock or Cash-Based Awards </w:t>
      </w:r>
      <w:r>
        <w:rPr>
          <w:rFonts w:ascii="Times New Roman" w:cs="Times New Roman" w:eastAsia="Times New Roman" w:hAnsi="Times New Roman"/>
          <w:sz w:val="14"/>
          <w:szCs w:val="14"/>
          <w:color w:val="auto"/>
        </w:rPr>
        <w:t>. Other stock or cash-based awards are awards of cash, fully 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95" w:lineRule="exact"/>
        <w:rPr>
          <w:rFonts w:ascii="Times New Roman" w:cs="Times New Roman" w:eastAsia="Times New Roman" w:hAnsi="Times New Roman"/>
          <w:sz w:val="14"/>
          <w:szCs w:val="14"/>
          <w:color w:val="auto"/>
        </w:rPr>
      </w:pPr>
    </w:p>
    <w:p>
      <w:pPr>
        <w:ind w:left="1660" w:right="1219" w:hanging="249"/>
        <w:spacing w:after="0" w:line="262" w:lineRule="auto"/>
        <w:tabs>
          <w:tab w:leader="none" w:pos="1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 Equivalents</w:t>
      </w:r>
      <w:r>
        <w:rPr>
          <w:rFonts w:ascii="Times New Roman" w:cs="Times New Roman" w:eastAsia="Times New Roman" w:hAnsi="Times New Roman"/>
          <w:sz w:val="14"/>
          <w:szCs w:val="14"/>
          <w:color w:val="auto"/>
        </w:rPr>
        <w:t>. Dividend equivalents represent the right to receive the equivalent value of 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paid on shares of 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payable with respect to an award prior to the vesting of such award instead will be paid out to the participant only to the extent that the vesting conditions are subsequently satisfied and the award vests.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Certain Transactions</w:t>
      </w:r>
    </w:p>
    <w:p>
      <w:pPr>
        <w:spacing w:after="0" w:line="142"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The plan administrator has broad discretion to take action under the 2026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2026 Plan and outstanding awards. In the event of a change in control (as defined in the 2026 Plan), to the extent that the surviving entity declines to continue, convert, assume or replace outstanding awards, then all such awards will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Repricing</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Our board of directors may, without approval of the stockholders, reduce the exercise price of any stock option or SAR, or cancel any stock option or SAR in exchange for cash, other awards or stock options or SARs with an exercise price per share that is less than the exercise price per share of the original stock options or SARs.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Plan Amendment and Termination</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Our board of directors may amend or terminate the 2026 Plan at any time; however, no amendment, other than an amendment that increases the number of shares available under the 2026 Plan, may materially and adversely affect an award outstanding under the 2026 Plan without the consent of the affected participant, and stockholder approval will be obtained for any amendment to the extent necessary to comply with applicable laws. The 2026 Plan will remain in effect until terminated. No awards may be granted under the 2026 Plan after its termination.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Foreign Participants, Claw-back Provisions, Transferability and Participant Payments</w:t>
      </w:r>
    </w:p>
    <w:p>
      <w:pPr>
        <w:spacing w:after="0" w:line="142" w:lineRule="exact"/>
        <w:rPr>
          <w:sz w:val="20"/>
          <w:szCs w:val="20"/>
          <w:color w:val="auto"/>
        </w:rPr>
      </w:pPr>
    </w:p>
    <w:p>
      <w:pPr>
        <w:jc w:val="both"/>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any Company clawback policy as set forth in such clawback policy or the applicable award agreement. Awards under the 2026 Plan are</w:t>
      </w:r>
    </w:p>
    <w:p>
      <w:pPr>
        <w:sectPr>
          <w:pgSz w:w="11900" w:h="16928" w:orient="portrait"/>
          <w:cols w:equalWidth="0" w:num="1">
            <w:col w:w="9019"/>
          </w:cols>
          <w:pgMar w:left="1440" w:top="136" w:right="1440" w:bottom="0" w:gutter="0" w:footer="0" w:header="0"/>
        </w:sectPr>
      </w:pPr>
    </w:p>
    <w:bookmarkStart w:id="115" w:name="page116"/>
    <w:bookmarkEnd w:id="115"/>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generally non-transferable,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2026 Plan, the plan administrator may, in its discretion, accept cash or check, shares of our common stock that meet specified conditions, a “market sell order” or such other consideration as it deems suitable.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-554355</wp:posOffset>
            </wp:positionV>
            <wp:extent cx="716026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44" w:lineRule="exact"/>
        <w:rPr>
          <w:sz w:val="20"/>
          <w:szCs w:val="20"/>
          <w:color w:val="auto"/>
        </w:rPr>
      </w:pPr>
    </w:p>
    <w:p>
      <w:pPr>
        <w:jc w:val="both"/>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In connection with this offering, we adopted, and our stockholders approved, the Employee Stock Purchase Plan, or the ESPP. The material terms of the ESPP are summarized below.</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Shares Available; Administration</w:t>
      </w:r>
    </w:p>
    <w:p>
      <w:pPr>
        <w:spacing w:after="0" w:line="142" w:lineRule="exact"/>
        <w:rPr>
          <w:sz w:val="20"/>
          <w:szCs w:val="20"/>
          <w:color w:val="auto"/>
        </w:rPr>
      </w:pPr>
    </w:p>
    <w:p>
      <w:pPr>
        <w:jc w:val="both"/>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The initial share reserve under the ESPP will equal 2% of the number of shares of our Class A and Class B common stock outstanding as of immediately following the completion of this offering (which is expected to be 5,671,247 shares, based on the initial public offering price of $27.00 per share).</w:t>
      </w:r>
    </w:p>
    <w:p>
      <w:pPr>
        <w:spacing w:after="0" w:line="93"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In addition, the number of shares available for issuance under the ESPP will be annually increased by an annual increase on the first day of each calendar year beginning January 1, 2027 and ending on and including January 1, 2036, equal to the lesser of (i) 1% of the aggregate number of shares of our Class A and Class B common stock outstanding on the final day of the immediately preceding calendar year and (ii) such smaller number of shares as is determined by our board of directors. In no event will more than 100,000,000 shares of our Class A common stock be available for issuance under the ESPP.</w:t>
      </w:r>
    </w:p>
    <w:p>
      <w:pPr>
        <w:spacing w:after="0" w:line="101" w:lineRule="exact"/>
        <w:rPr>
          <w:sz w:val="20"/>
          <w:szCs w:val="20"/>
          <w:color w:val="auto"/>
        </w:rPr>
      </w:pPr>
    </w:p>
    <w:p>
      <w:pPr>
        <w:jc w:val="both"/>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Our board of directors or a committee designated by our board of directors have authority to interpret the terms of the ESPP and determine eligibility of participants. The compensation committee is the administrator of the ESPP.</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14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plan administrator may designate certain of our subsidiaries as participating “designated subsidiaries” in the ESPP 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99"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Participation in an Offering</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intend for the ESPP to qualify under Section 423 of the Code and stock will be offered under the ESPP during offering periods (which offering periods may overlap).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ESPP will permit participants to purchase our Class A common stock through payroll deductions of up to 15% of their eligible compensation, unless otherwise determined by the plan administrator, which will include a participant’s gross base salary for services to us, excluding periodic bonuses, one-time bonuses, sales commissions, overtime payments, expense reimbursements, fringe benefits, income from equity awards and other special payments. The plan administrator will establish a maximum number of shares that may be purchased by a participant during any offering period or purchase period, which, in the absence of a contrary designation, will be 10,000 shares for an offering period and/or a purchase period. In addition,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day of the offering period).</w:t>
      </w:r>
    </w:p>
    <w:p>
      <w:pPr>
        <w:spacing w:after="0" w:line="10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On the first trading day of each offering period, each participant automatically will be granted an option to purchase shares of our Class A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Class A common stock on the first trading day of the offering period or on the applicable purchase date, which will be the final trading day of the applicable purchase period.</w:t>
      </w:r>
    </w:p>
    <w:p>
      <w:pPr>
        <w:spacing w:after="0" w:line="10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Participants may voluntarily end their participation in the ESPP at any time at least two weeks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Transferability</w:t>
      </w:r>
    </w:p>
    <w:p>
      <w:pPr>
        <w:spacing w:after="0" w:line="142" w:lineRule="exact"/>
        <w:rPr>
          <w:sz w:val="20"/>
          <w:szCs w:val="20"/>
          <w:color w:val="auto"/>
        </w:rPr>
      </w:pPr>
    </w:p>
    <w:p>
      <w:pPr>
        <w:ind w:left="1160" w:right="1659" w:firstLine="258"/>
        <w:spacing w:after="0" w:line="292" w:lineRule="auto"/>
        <w:rPr>
          <w:sz w:val="20"/>
          <w:szCs w:val="20"/>
          <w:color w:val="auto"/>
        </w:rPr>
      </w:pPr>
      <w:r>
        <w:rPr>
          <w:rFonts w:ascii="Times New Roman" w:cs="Times New Roman" w:eastAsia="Times New Roman" w:hAnsi="Times New Roman"/>
          <w:sz w:val="14"/>
          <w:szCs w:val="14"/>
          <w:color w:val="auto"/>
        </w:rPr>
        <w:t>A participant may not transfer rights granted under the ESPP other than by will, the laws of descent and distribution or as otherwise provided in the ESPP.</w:t>
      </w:r>
    </w:p>
    <w:p>
      <w:pPr>
        <w:sectPr>
          <w:pgSz w:w="11900" w:h="16838" w:orient="portrait"/>
          <w:cols w:equalWidth="0" w:num="1">
            <w:col w:w="9019"/>
          </w:cols>
          <w:pgMar w:left="1440" w:top="125" w:right="1440" w:bottom="0" w:gutter="0" w:footer="0" w:header="0"/>
        </w:sectPr>
      </w:pPr>
    </w:p>
    <w:bookmarkStart w:id="116" w:name="page117"/>
    <w:bookmarkEnd w:id="116"/>
    <w:p>
      <w:pPr>
        <w:spacing w:after="0" w:line="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-71120</wp:posOffset>
            </wp:positionV>
            <wp:extent cx="716026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5"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In the event of certain transactions or events affecting our common stock, such as any stock dividend or other 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2026 Plan.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Plan Amendment; Termination</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 plan administrator may amend, suspend or terminate the ESPP at any time. However, stockholder approval of any amendment to the ESPP must be obtained for any amendment which increases the aggregate number or changes the type of shares that may be sold pursuant to rights under the ESPP, amends the ESPP in any manner that would be considered the adoption of a new plan within the meaning of Treasury regulation Section 1.423-2(c)(4), or changes the ESPP in any manner that would cause the ESPP to no longer be an employee stock purchase plan within the meaning of Section 423(b) of the Code.</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42"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During the fiscal year ended December 31, 2025, our non-employee directors were Anne Cleary, Tanuj Dutta, Christina Karapataki, Rachel Slaybaugh, Jane Woodward and Ion Yadigaroglu.</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2025 Director Compensation Table</w:t>
      </w:r>
    </w:p>
    <w:p>
      <w:pPr>
        <w:spacing w:after="0" w:line="144"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sets forth information for 2025 regarding the compensation awarded to, earned by or paid to the non-employee directors who served on our board of directors during fiscal year 2025. None of our non-employee directors received cash compensation in 2025.</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50"/>
        </w:trPr>
        <w:tc>
          <w:tcPr>
            <w:tcW w:w="4780" w:type="dxa"/>
            <w:vAlign w:val="bottom"/>
            <w:gridSpan w:val="2"/>
            <w:vMerge w:val="continue"/>
          </w:tcPr>
          <w:p>
            <w:pPr>
              <w:spacing w:after="0"/>
              <w:rPr>
                <w:sz w:val="13"/>
                <w:szCs w:val="13"/>
                <w:color w:val="auto"/>
              </w:rPr>
            </w:pPr>
          </w:p>
        </w:tc>
        <w:tc>
          <w:tcPr>
            <w:tcW w:w="940" w:type="dxa"/>
            <w:vAlign w:val="bottom"/>
          </w:tcPr>
          <w:p>
            <w:pPr>
              <w:jc w:val="right"/>
              <w:ind w:right="295"/>
              <w:spacing w:after="0" w:line="150"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(1)</w:t>
            </w:r>
          </w:p>
        </w:tc>
        <w:tc>
          <w:tcPr>
            <w:tcW w:w="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Anne Cleary</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Tanuj Dutta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gridSpan w:val="2"/>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Christina Karapataki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Rachel Slaybaugh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gridSpan w:val="2"/>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Jane Woodward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²</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47,520</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47,520</w:t>
            </w:r>
          </w:p>
        </w:tc>
        <w:tc>
          <w:tcPr>
            <w:tcW w:w="0" w:type="dxa"/>
            <w:vAlign w:val="bottom"/>
          </w:tcPr>
          <w:p>
            <w:pPr>
              <w:spacing w:after="0"/>
              <w:rPr>
                <w:sz w:val="1"/>
                <w:szCs w:val="1"/>
                <w:color w:val="auto"/>
              </w:rPr>
            </w:pPr>
          </w:p>
        </w:tc>
      </w:tr>
      <w:tr>
        <w:trPr>
          <w:trHeight w:val="192"/>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Ion Yadigaroglu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420" w:right="1239" w:hanging="267"/>
        <w:spacing w:after="0" w:line="260" w:lineRule="auto"/>
        <w:tabs>
          <w:tab w:leader="none" w:pos="142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the aggregate grant date fair value of stock options granted during the year ended December 31, 2025 computed in accordance with FASB ASC Topic 718, Compensation — Stock Compensation and do not necessarily correspond to the actual economic value that may be received by the directors from these awards. We provide information regarding the assumptions used to calculate the value of all stock options made to non-employee directors who served on our board of directors in Note 10 – Stock Based Compensation to the consolidated financial statements included in this prospectus.</w:t>
      </w:r>
    </w:p>
    <w:p>
      <w:pPr>
        <w:spacing w:after="0" w:line="2" w:lineRule="exact"/>
        <w:rPr>
          <w:rFonts w:ascii="Times New Roman" w:cs="Times New Roman" w:eastAsia="Times New Roman" w:hAnsi="Times New Roman"/>
          <w:sz w:val="11"/>
          <w:szCs w:val="11"/>
          <w:color w:val="auto"/>
        </w:rPr>
      </w:pPr>
    </w:p>
    <w:p>
      <w:pPr>
        <w:ind w:left="1420" w:right="1279" w:hanging="267"/>
        <w:spacing w:after="0" w:line="282" w:lineRule="auto"/>
        <w:tabs>
          <w:tab w:leader="none" w:pos="142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Dutta and Mmes. Karapataki, Slaybaugh and Woodward will each resign from our board of directors effective upon and subject to the completion of this offering.</w:t>
      </w:r>
    </w:p>
    <w:p>
      <w:pPr>
        <w:spacing w:after="0" w:line="91"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summarizes the number of shares of Class A common stock subject to outstanding stock options held by each non-employee director who served on our board of directors during fiscal year 2025, as of December 31, 2025. The awards described below have been adjusted to reflect the Stock Split, which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79"/>
        <w:spacing w:after="0" w:line="292" w:lineRule="auto"/>
        <w:rPr>
          <w:sz w:val="20"/>
          <w:szCs w:val="20"/>
          <w:color w:val="auto"/>
        </w:rPr>
      </w:pPr>
      <w:r>
        <w:rPr>
          <w:rFonts w:ascii="Times New Roman" w:cs="Times New Roman" w:eastAsia="Times New Roman" w:hAnsi="Times New Roman"/>
          <w:sz w:val="14"/>
          <w:szCs w:val="14"/>
          <w:color w:val="auto"/>
        </w:rPr>
        <w:t>upon the filing of our Amended Charter after the effectiveness of the registration statement to which this offering relates and prior to the completion of this offering.</w:t>
      </w:r>
    </w:p>
    <w:p>
      <w:pPr>
        <w:spacing w:after="0" w:line="200" w:lineRule="exact"/>
        <w:rPr>
          <w:sz w:val="20"/>
          <w:szCs w:val="20"/>
          <w:color w:val="auto"/>
        </w:rPr>
      </w:pPr>
    </w:p>
    <w:p>
      <w:pPr>
        <w:spacing w:after="0" w:line="332"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Anne Cleary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143,880</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Tanuj Dutta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Christina Karapataki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Rachel Slaybaugh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Jane Woodward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13,848</w:t>
            </w:r>
          </w:p>
        </w:tc>
      </w:tr>
    </w:tbl>
    <w:p>
      <w:pPr>
        <w:sectPr>
          <w:pgSz w:w="11900" w:h="16867" w:orient="portrait"/>
          <w:cols w:equalWidth="0" w:num="1">
            <w:col w:w="9019"/>
          </w:cols>
          <w:pgMar w:left="1440" w:top="92" w:right="1440" w:bottom="0" w:gutter="0" w:footer="0" w:header="0"/>
        </w:sectPr>
      </w:pPr>
    </w:p>
    <w:bookmarkStart w:id="117" w:name="page118"/>
    <w:bookmarkEnd w:id="117"/>
    <w:p>
      <w:pPr>
        <w:ind w:left="1200"/>
        <w:spacing w:after="0"/>
        <w:tabs>
          <w:tab w:leader="none" w:pos="7180" w:val="left"/>
        </w:tabs>
        <w:rPr>
          <w:sz w:val="20"/>
          <w:szCs w:val="20"/>
          <w:color w:val="auto"/>
        </w:rPr>
      </w:pPr>
      <w:r>
        <w:rPr>
          <w:rFonts w:ascii="Times New Roman" w:cs="Times New Roman" w:eastAsia="Times New Roman" w:hAnsi="Times New Roman"/>
          <w:sz w:val="14"/>
          <w:szCs w:val="14"/>
          <w:color w:val="auto"/>
        </w:rPr>
        <w:t xml:space="preserve">Ion Yadigaroglu </w:t>
      </w:r>
      <w:r>
        <w:rPr>
          <w:rFonts w:ascii="Times New Roman" w:cs="Times New Roman" w:eastAsia="Times New Roman" w:hAnsi="Times New Roman"/>
          <w:sz w:val="14"/>
          <w:szCs w:val="14"/>
          <w:color w:val="B4B4B4"/>
        </w:rPr>
        <w:t>...................................................................................................................................</w:t>
      </w:r>
      <w:r>
        <w:rPr>
          <w:sz w:val="20"/>
          <w:szCs w:val="20"/>
          <w:color w:val="auto"/>
        </w:rPr>
        <w:tab/>
      </w:r>
      <w:r>
        <w:rPr>
          <w:rFonts w:ascii="Times New Roman" w:cs="Times New Roman" w:eastAsia="Times New Roman" w:hAnsi="Times New Roman"/>
          <w:sz w:val="11"/>
          <w:szCs w:val="11"/>
          <w:b w:val="1"/>
          <w:bCs w:val="1"/>
          <w:color w:val="auto"/>
        </w:rPr>
        <w:t xml:space="preserve">Options </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60260"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7020"/>
        <w:spacing w:after="0" w:line="222" w:lineRule="auto"/>
        <w:rPr>
          <w:sz w:val="20"/>
          <w:szCs w:val="20"/>
          <w:color w:val="auto"/>
        </w:rPr>
      </w:pPr>
      <w:r>
        <w:rPr>
          <w:rFonts w:ascii="Times New Roman" w:cs="Times New Roman" w:eastAsia="Times New Roman" w:hAnsi="Times New Roman"/>
          <w:sz w:val="11"/>
          <w:szCs w:val="11"/>
          <w:b w:val="1"/>
          <w:bCs w:val="1"/>
          <w:color w:val="auto"/>
        </w:rPr>
        <w:t>Outstanding at</w:t>
      </w:r>
    </w:p>
    <w:p>
      <w:pPr>
        <w:ind w:left="1200"/>
        <w:spacing w:after="0" w:line="193" w:lineRule="auto"/>
        <w:tabs>
          <w:tab w:leader="none" w:pos="6980" w:val="left"/>
        </w:tabs>
        <w:rPr>
          <w:sz w:val="20"/>
          <w:szCs w:val="20"/>
          <w:color w:val="auto"/>
        </w:rPr>
      </w:pPr>
      <w:r>
        <w:rPr>
          <w:rFonts w:ascii="Times New Roman" w:cs="Times New Roman" w:eastAsia="Times New Roman" w:hAnsi="Times New Roman"/>
          <w:sz w:val="10"/>
          <w:szCs w:val="10"/>
          <w:b w:val="1"/>
          <w:bCs w:val="1"/>
          <w:color w:val="auto"/>
        </w:rPr>
        <w:t>Name</w:t>
      </w:r>
      <w:r>
        <w:rPr>
          <w:sz w:val="20"/>
          <w:szCs w:val="20"/>
          <w:color w:val="auto"/>
        </w:rPr>
        <w:tab/>
      </w:r>
      <w:r>
        <w:rPr>
          <w:rFonts w:ascii="Times New Roman" w:cs="Times New Roman" w:eastAsia="Times New Roman" w:hAnsi="Times New Roman"/>
          <w:sz w:val="10"/>
          <w:szCs w:val="10"/>
          <w:b w:val="1"/>
          <w:bCs w:val="1"/>
          <w:color w:val="auto"/>
        </w:rPr>
        <w:t>Fiscal Year End</w:t>
      </w: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 Compensation Program</w:t>
      </w:r>
    </w:p>
    <w:p>
      <w:pPr>
        <w:spacing w:after="0" w:line="124"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In connection with this offering, we adopted, and our stockholders approved, a compensation program (the “Director Compensation Program”) for our non-employee directors (each, an “Eligible Director”). The Director Compensation Program provides for annual cash retainer fees and long-term equity awards. The material terms of the Director Compensation Program are described below.</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Director Compensation Program consists of the following components: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Cash Compensation:</w:t>
      </w:r>
    </w:p>
    <w:p>
      <w:pPr>
        <w:spacing w:after="0" w:line="142" w:lineRule="exact"/>
        <w:rPr>
          <w:sz w:val="20"/>
          <w:szCs w:val="20"/>
          <w:color w:val="auto"/>
        </w:rPr>
      </w:pPr>
    </w:p>
    <w:p>
      <w:pPr>
        <w:ind w:left="1660" w:hanging="249"/>
        <w:spacing w:after="0"/>
        <w:tabs>
          <w:tab w:leader="none" w:pos="16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Retainer: $77,500</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Committee Chair Retainer:</w:t>
      </w:r>
    </w:p>
    <w:p>
      <w:pPr>
        <w:spacing w:after="0" w:line="139"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and Risk: $20,000</w:t>
      </w:r>
    </w:p>
    <w:p>
      <w:pPr>
        <w:spacing w:after="0" w:line="139"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$15,000</w:t>
      </w:r>
    </w:p>
    <w:p>
      <w:pPr>
        <w:spacing w:after="0" w:line="139"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$15,000</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 $25,000</w:t>
      </w:r>
    </w:p>
    <w:p>
      <w:pPr>
        <w:spacing w:after="0" w:line="140"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annual cash retainers will be paid in quarterly installments in arrears. Annual cash retainers will be pro-rated for any partial calendar quarter of service.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42" w:lineRule="exact"/>
        <w:rPr>
          <w:sz w:val="20"/>
          <w:szCs w:val="20"/>
          <w:color w:val="auto"/>
        </w:rPr>
      </w:pPr>
    </w:p>
    <w:p>
      <w:pPr>
        <w:ind w:left="1660" w:right="1199" w:hanging="249"/>
        <w:spacing w:after="0" w:line="263" w:lineRule="auto"/>
        <w:tabs>
          <w:tab w:leader="none" w:pos="16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 Awards: Our board approved the grant of RSU awards pursuant to the 2026 Plan to our non-employee directors, which grants became effective in connection with the completion of this offering (the “2026 Awards”). The dollar-denominated value of each award will be $250,000 and the aggregate dollar-denominated value of these awards will be $1,500,000. The aggregate number of shares of our Class A common stock that will be subject to the 2026 Awards will be determined based on the initial public offering price per share of our common stock in this offering.</w:t>
      </w:r>
    </w:p>
    <w:p>
      <w:pPr>
        <w:spacing w:after="0" w:line="101" w:lineRule="exact"/>
        <w:rPr>
          <w:sz w:val="20"/>
          <w:szCs w:val="20"/>
          <w:color w:val="auto"/>
        </w:rPr>
      </w:pPr>
    </w:p>
    <w:p>
      <w:pPr>
        <w:jc w:val="both"/>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The 2026 Awards will vest in full on the date of the annual meeting of stockholders to be held in 2027, or, if earlier, the first anniversary of the completion of this offering, subject to continued service through the applicable vesting date.</w:t>
      </w:r>
    </w:p>
    <w:p>
      <w:pPr>
        <w:spacing w:after="0" w:line="93" w:lineRule="exact"/>
        <w:rPr>
          <w:sz w:val="20"/>
          <w:szCs w:val="20"/>
          <w:color w:val="auto"/>
        </w:rPr>
      </w:pPr>
    </w:p>
    <w:p>
      <w:pPr>
        <w:ind w:left="1660" w:right="1199" w:hanging="249"/>
        <w:spacing w:after="0" w:line="265" w:lineRule="auto"/>
        <w:tabs>
          <w:tab w:leader="none" w:pos="16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Award: An Eligible Director who is initially elected or appointed to serve on our board of directors following the completion of this offering automatically shall be granted, on the date of such Eligible Director’s appointment or election to our board of directors, an RSU award with an aggregate value of $125,000, prorated based on the number of days from the immediately preceding date of an annual meeting of stockholders (or, if none, the completion of this offering). The number of RSUs subject to the award will</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39"/>
        <w:spacing w:after="0" w:line="292" w:lineRule="auto"/>
        <w:rPr>
          <w:sz w:val="20"/>
          <w:szCs w:val="20"/>
          <w:color w:val="auto"/>
        </w:rPr>
      </w:pPr>
      <w:r>
        <w:rPr>
          <w:rFonts w:ascii="Times New Roman" w:cs="Times New Roman" w:eastAsia="Times New Roman" w:hAnsi="Times New Roman"/>
          <w:sz w:val="14"/>
          <w:szCs w:val="14"/>
          <w:color w:val="auto"/>
        </w:rPr>
        <w:t>be determined by dividing the value of the award by the price per share of our Class A common stock on the applicable grant date.</w:t>
      </w:r>
    </w:p>
    <w:p>
      <w:pPr>
        <w:spacing w:after="0" w:line="81" w:lineRule="exact"/>
        <w:rPr>
          <w:sz w:val="20"/>
          <w:szCs w:val="20"/>
          <w:color w:val="auto"/>
        </w:rPr>
      </w:pPr>
    </w:p>
    <w:p>
      <w:pPr>
        <w:ind w:left="1660" w:right="1239" w:hanging="249"/>
        <w:spacing w:after="0" w:line="265" w:lineRule="auto"/>
        <w:tabs>
          <w:tab w:leader="none" w:pos="16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Award: An Eligible Director who is serving on our board of directors as of the date of an annual meeting of stockholders (beginning with calendar year 2027) automatically shall be granted, on the date of such annual meeting, an RSU award with an aggregate value of $125,000. The number of RSUs subject to the award will be determined by dividing the value of the award by the price per share of our Class A common stock on the applicable grant date.</w:t>
      </w:r>
    </w:p>
    <w:p>
      <w:pPr>
        <w:spacing w:after="0" w:line="99"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Each Initial Award and Annual Award will vest in full on the earlier to occur of the first anniversary of the grant date and the date of the next annual meeting following the grant date, subject to continued service.</w:t>
      </w:r>
    </w:p>
    <w:p>
      <w:pPr>
        <w:spacing w:after="0" w:line="8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In addition, each equity award granted to an Eligible Director under the Director Compensation Program will vest in full immediately prior to the occurrence of a “change in control” (as defined in the 2026 Plan). Compensation under the Director Compensation Program is subject to the annual limits on non-employee director compensation set forth in the 2026 Plan.</w:t>
      </w:r>
    </w:p>
    <w:p>
      <w:pPr>
        <w:sectPr>
          <w:pgSz w:w="11900" w:h="16838" w:orient="portrait"/>
          <w:cols w:equalWidth="0" w:num="1">
            <w:col w:w="9019"/>
          </w:cols>
          <w:pgMar w:left="1440" w:top="114"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42"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voting securities as of April 29 , 2026, and as adjusted to reflect the Stock Split, the Preferred Stock Conversion, the Founder Share Exchange, the Reclassification and the filing and effectiveness of our Amended Charter and adoption of our Amended Bylaws upon the closing of this offering, in each case as if such event had occurred on April 29, 2026, and to give effect to this offering, for:</w:t>
      </w:r>
    </w:p>
    <w:p>
      <w:pPr>
        <w:spacing w:after="0" w:line="99" w:lineRule="exact"/>
        <w:rPr>
          <w:sz w:val="20"/>
          <w:szCs w:val="20"/>
          <w:color w:val="auto"/>
        </w:rPr>
      </w:pPr>
    </w:p>
    <w:p>
      <w:pPr>
        <w:ind w:left="1660" w:right="1359" w:hanging="249"/>
        <w:spacing w:after="0" w:line="292" w:lineRule="auto"/>
        <w:tabs>
          <w:tab w:leader="none" w:pos="16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Class A common stock or Class B common stock;</w:t>
      </w:r>
    </w:p>
    <w:p>
      <w:pPr>
        <w:spacing w:after="0" w:line="3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directors and director nominees; and</w:t>
      </w:r>
    </w:p>
    <w:p>
      <w:pPr>
        <w:spacing w:after="0" w:line="9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directors and director nominees as a group.</w:t>
      </w:r>
    </w:p>
    <w:p>
      <w:pPr>
        <w:spacing w:after="0" w:line="9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April 29, 2026 are considered outstanding, although these shares are not considered outstanding for purposes of computing the percentage ownership of any other person. The percentage of total voting power before and after this offering for each person set forth in the table below assumes the conversion of all options, warrants or other rights held by such person that are currently exercisable or will become exercisable within 60 days of April 29, 2026 into shares of common stock, although these shares are not considered outstanding for purposes of computing the percentage of total voting power of any other person. The applicable percentage ownership after this offering is based on 275,776,920 shares of our Class A common stock and 7,785,414 shares of our Class B common stock outstanding immediately following the completion of this offering, assuming that the underwriters do not exercise their option to purchase additional shares of Class A common stock and assuming the issuance of up to 70,000,000 shares of Class A common stock at the closing of this offering. Unless otherwise indicated, the address of all listed stockholders is 811 Main Street, Suite 1700, Houston, TX 77002.</w:t>
      </w:r>
    </w:p>
    <w:p>
      <w:pPr>
        <w:spacing w:after="0" w:line="109" w:lineRule="exact"/>
        <w:rPr>
          <w:sz w:val="20"/>
          <w:szCs w:val="20"/>
          <w:color w:val="auto"/>
        </w:rPr>
      </w:pPr>
    </w:p>
    <w:p>
      <w:pPr>
        <w:jc w:val="both"/>
        <w:ind w:left="1160" w:right="1739" w:firstLine="258"/>
        <w:spacing w:after="0" w:line="274" w:lineRule="auto"/>
        <w:rPr>
          <w:sz w:val="20"/>
          <w:szCs w:val="20"/>
          <w:color w:val="auto"/>
        </w:rPr>
      </w:pPr>
      <w:r>
        <w:rPr>
          <w:rFonts w:ascii="Times New Roman" w:cs="Times New Roman" w:eastAsia="Times New Roman" w:hAnsi="Times New Roman"/>
          <w:sz w:val="14"/>
          <w:szCs w:val="14"/>
          <w:color w:val="auto"/>
        </w:rPr>
        <w:t>Each of the stockholders listed below has sole voting and investment power with respect to the shares beneficially owned by such stockholder unless noted otherwise,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9019"/>
          </w:cols>
          <w:pgMar w:left="1440" w:top="1440" w:right="1440" w:bottom="9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942" w:gutter="0" w:footer="0" w:header="0"/>
          <w:type w:val="continuous"/>
        </w:sectPr>
      </w:pPr>
    </w:p>
    <w:bookmarkStart w:id="119" w:name="page120"/>
    <w:bookmarkEnd w:id="119"/>
    <w:tbl>
      <w:tblPr>
        <w:tblLayout w:type="fixed"/>
        <w:tblInd w:w="1160" w:type="dxa"/>
        <w:tblCellMar>
          <w:top w:w="0" w:type="dxa"/>
          <w:left w:w="0" w:type="dxa"/>
          <w:bottom w:w="0" w:type="dxa"/>
          <w:right w:w="0" w:type="dxa"/>
        </w:tblCellMar>
      </w:tblPr>
      <w:tr>
        <w:trPr>
          <w:trHeight w:val="126"/>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Before Offering</w:t>
            </w: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After Offering</w:t>
            </w: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Before Offering</w:t>
            </w: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After Offering</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5"/>
          </w:tcPr>
          <w:p>
            <w:pPr>
              <w:spacing w:after="0" w:line="76" w:lineRule="exact"/>
              <w:rPr>
                <w:sz w:val="20"/>
                <w:szCs w:val="20"/>
                <w:color w:val="auto"/>
              </w:rPr>
            </w:pPr>
            <w:r>
              <w:rPr>
                <w:rFonts w:ascii="Times New Roman" w:cs="Times New Roman" w:eastAsia="Times New Roman" w:hAnsi="Times New Roman"/>
                <w:sz w:val="8"/>
                <w:szCs w:val="8"/>
                <w:b w:val="1"/>
                <w:bCs w:val="1"/>
                <w:color w:val="auto"/>
              </w:rPr>
              <w:t>Class A common stock</w:t>
            </w:r>
          </w:p>
        </w:tc>
        <w:tc>
          <w:tcPr>
            <w:tcW w:w="4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4"/>
          </w:tcPr>
          <w:p>
            <w:pPr>
              <w:jc w:val="right"/>
              <w:ind w:right="40"/>
              <w:spacing w:after="0" w:line="76" w:lineRule="exact"/>
              <w:rPr>
                <w:sz w:val="20"/>
                <w:szCs w:val="20"/>
                <w:color w:val="auto"/>
              </w:rPr>
            </w:pPr>
            <w:r>
              <w:rPr>
                <w:rFonts w:ascii="Times New Roman" w:cs="Times New Roman" w:eastAsia="Times New Roman" w:hAnsi="Times New Roman"/>
                <w:sz w:val="8"/>
                <w:szCs w:val="8"/>
                <w:b w:val="1"/>
                <w:bCs w:val="1"/>
                <w:color w:val="auto"/>
              </w:rPr>
              <w:t>Class B common stock</w:t>
            </w:r>
          </w:p>
        </w:tc>
        <w:tc>
          <w:tcPr>
            <w:tcW w:w="4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gridSpan w:val="2"/>
          </w:tcPr>
          <w:p>
            <w:pPr>
              <w:jc w:val="right"/>
              <w:ind w:right="25"/>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 total</w:t>
            </w:r>
          </w:p>
        </w:tc>
        <w:tc>
          <w:tcPr>
            <w:tcW w:w="0" w:type="dxa"/>
            <w:vAlign w:val="bottom"/>
          </w:tcPr>
          <w:p>
            <w:pPr>
              <w:spacing w:after="0"/>
              <w:rPr>
                <w:sz w:val="1"/>
                <w:szCs w:val="1"/>
                <w:color w:val="auto"/>
              </w:rPr>
            </w:pPr>
          </w:p>
        </w:tc>
      </w:tr>
      <w:tr>
        <w:trPr>
          <w:trHeight w:val="32"/>
        </w:trPr>
        <w:tc>
          <w:tcPr>
            <w:tcW w:w="760" w:type="dxa"/>
            <w:vAlign w:val="bottom"/>
            <w:vMerge w:val="restart"/>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5% Holders</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jc w:val="right"/>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2"/>
                <w:szCs w:val="2"/>
                <w:color w:val="auto"/>
              </w:rPr>
            </w:pPr>
          </w:p>
        </w:tc>
        <w:tc>
          <w:tcPr>
            <w:tcW w:w="500" w:type="dxa"/>
            <w:vAlign w:val="bottom"/>
            <w:gridSpan w:val="2"/>
            <w:vMerge w:val="restart"/>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Percent</w:t>
            </w:r>
          </w:p>
        </w:tc>
        <w:tc>
          <w:tcPr>
            <w:tcW w:w="700" w:type="dxa"/>
            <w:vAlign w:val="bottom"/>
            <w:gridSpan w:val="2"/>
            <w:vMerge w:val="restart"/>
          </w:tcPr>
          <w:p>
            <w:pPr>
              <w:ind w:left="160"/>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vMerge w:val="restart"/>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Percent</w:t>
            </w:r>
          </w:p>
        </w:tc>
        <w:tc>
          <w:tcPr>
            <w:tcW w:w="560" w:type="dxa"/>
            <w:vAlign w:val="bottom"/>
            <w:vMerge w:val="restart"/>
          </w:tcPr>
          <w:p>
            <w:pPr>
              <w:jc w:val="right"/>
              <w:ind w:right="40"/>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2"/>
                <w:szCs w:val="2"/>
                <w:color w:val="auto"/>
              </w:rPr>
            </w:pPr>
          </w:p>
        </w:tc>
        <w:tc>
          <w:tcPr>
            <w:tcW w:w="520" w:type="dxa"/>
            <w:vAlign w:val="bottom"/>
            <w:gridSpan w:val="2"/>
            <w:vMerge w:val="restart"/>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Percent</w:t>
            </w:r>
          </w:p>
        </w:tc>
        <w:tc>
          <w:tcPr>
            <w:tcW w:w="620" w:type="dxa"/>
            <w:vAlign w:val="bottom"/>
            <w:vMerge w:val="restart"/>
          </w:tcPr>
          <w:p>
            <w:pPr>
              <w:jc w:val="right"/>
              <w:ind w:right="120"/>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vMerge w:val="restart"/>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Percent</w:t>
            </w:r>
          </w:p>
        </w:tc>
        <w:tc>
          <w:tcPr>
            <w:tcW w:w="540" w:type="dxa"/>
            <w:vAlign w:val="bottom"/>
          </w:tcPr>
          <w:p>
            <w:pPr>
              <w:spacing w:after="0"/>
              <w:rPr>
                <w:sz w:val="2"/>
                <w:szCs w:val="2"/>
                <w:color w:val="auto"/>
              </w:rPr>
            </w:pPr>
          </w:p>
        </w:tc>
        <w:tc>
          <w:tcPr>
            <w:tcW w:w="520" w:type="dxa"/>
            <w:vAlign w:val="bottom"/>
          </w:tcPr>
          <w:p>
            <w:pPr>
              <w:jc w:val="center"/>
              <w:spacing w:after="0" w:line="33" w:lineRule="exact"/>
              <w:rPr>
                <w:sz w:val="20"/>
                <w:szCs w:val="20"/>
                <w:color w:val="auto"/>
              </w:rPr>
            </w:pPr>
            <w:r>
              <w:rPr>
                <w:rFonts w:ascii="Times New Roman" w:cs="Times New Roman" w:eastAsia="Times New Roman" w:hAnsi="Times New Roman"/>
                <w:sz w:val="3"/>
                <w:szCs w:val="3"/>
                <w:b w:val="1"/>
                <w:bCs w:val="1"/>
                <w:color w:val="auto"/>
              </w:rPr>
              <w:t>After</w:t>
            </w:r>
          </w:p>
        </w:tc>
        <w:tc>
          <w:tcPr>
            <w:tcW w:w="0" w:type="dxa"/>
            <w:vAlign w:val="bottom"/>
          </w:tcPr>
          <w:p>
            <w:pPr>
              <w:spacing w:after="0" w:line="20" w:lineRule="exact"/>
              <w:rPr>
                <w:sz w:val="1"/>
                <w:szCs w:val="1"/>
                <w:color w:val="auto"/>
              </w:rPr>
            </w:pPr>
          </w:p>
        </w:tc>
      </w:tr>
      <w:tr>
        <w:trPr>
          <w:trHeight w:val="75"/>
        </w:trPr>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060" w:type="dxa"/>
            <w:vAlign w:val="bottom"/>
            <w:gridSpan w:val="2"/>
          </w:tcPr>
          <w:p>
            <w:pPr>
              <w:jc w:val="right"/>
              <w:ind w:right="105"/>
              <w:spacing w:after="0" w:line="76" w:lineRule="exact"/>
              <w:rPr>
                <w:sz w:val="20"/>
                <w:szCs w:val="20"/>
                <w:color w:val="auto"/>
              </w:rPr>
            </w:pPr>
            <w:r>
              <w:rPr>
                <w:rFonts w:ascii="Times New Roman" w:cs="Times New Roman" w:eastAsia="Times New Roman" w:hAnsi="Times New Roman"/>
                <w:sz w:val="8"/>
                <w:szCs w:val="8"/>
                <w:b w:val="1"/>
                <w:bCs w:val="1"/>
                <w:color w:val="auto"/>
              </w:rPr>
              <w:t xml:space="preserve">voting power </w:t>
            </w:r>
            <w:r>
              <w:rPr>
                <w:rFonts w:ascii="Times New Roman" w:cs="Times New Roman" w:eastAsia="Times New Roman" w:hAnsi="Times New Roman"/>
                <w:sz w:val="5"/>
                <w:szCs w:val="5"/>
                <w:b w:val="1"/>
                <w:bCs w:val="1"/>
                <w:color w:val="auto"/>
              </w:rPr>
              <w:t>(1)</w:t>
            </w: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3"/>
                <w:szCs w:val="3"/>
                <w:b w:val="1"/>
                <w:bCs w:val="1"/>
                <w:color w:val="auto"/>
              </w:rPr>
              <w:t>Giving</w:t>
            </w:r>
          </w:p>
        </w:tc>
        <w:tc>
          <w:tcPr>
            <w:tcW w:w="0" w:type="dxa"/>
            <w:vAlign w:val="bottom"/>
          </w:tcPr>
          <w:p>
            <w:pPr>
              <w:spacing w:after="0" w:line="20" w:lineRule="exact"/>
              <w:rPr>
                <w:sz w:val="1"/>
                <w:szCs w:val="1"/>
                <w:color w:val="auto"/>
              </w:rPr>
            </w:pPr>
          </w:p>
        </w:tc>
      </w:tr>
      <w:tr>
        <w:trPr>
          <w:trHeight w:val="148"/>
        </w:trPr>
        <w:tc>
          <w:tcPr>
            <w:tcW w:w="7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Devon Energy</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rPr>
              <w:t>Before</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Effect to</w:t>
            </w:r>
          </w:p>
        </w:tc>
        <w:tc>
          <w:tcPr>
            <w:tcW w:w="0" w:type="dxa"/>
            <w:vAlign w:val="bottom"/>
          </w:tcPr>
          <w:p>
            <w:pPr>
              <w:spacing w:after="0"/>
              <w:rPr>
                <w:sz w:val="1"/>
                <w:szCs w:val="1"/>
                <w:color w:val="auto"/>
              </w:rPr>
            </w:pPr>
          </w:p>
        </w:tc>
      </w:tr>
      <w:tr>
        <w:trPr>
          <w:trHeight w:val="86"/>
        </w:trPr>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w w:val="96"/>
              </w:rPr>
              <w:t>Corporation</w:t>
            </w:r>
          </w:p>
        </w:tc>
        <w:tc>
          <w:tcPr>
            <w:tcW w:w="10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w w:val="85"/>
              </w:rPr>
              <w:t>(2)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B4B4B4"/>
                <w:w w:val="70"/>
              </w:rPr>
              <w:t>.</w:t>
            </w:r>
          </w:p>
        </w:tc>
        <w:tc>
          <w:tcPr>
            <w:tcW w:w="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35,728,296</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17.4 %</w:t>
            </w:r>
          </w:p>
        </w:tc>
        <w:tc>
          <w:tcPr>
            <w:tcW w:w="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35,728,296</w:t>
            </w:r>
          </w:p>
        </w:tc>
        <w:tc>
          <w:tcPr>
            <w:tcW w:w="4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13.0 %</w:t>
            </w:r>
          </w:p>
        </w:tc>
        <w:tc>
          <w:tcPr>
            <w:tcW w:w="4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7"/>
                <w:szCs w:val="7"/>
                <w:color w:val="auto"/>
              </w:rPr>
            </w:pP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7"/>
                <w:szCs w:val="7"/>
                <w:color w:val="auto"/>
              </w:rPr>
            </w:pPr>
          </w:p>
        </w:tc>
        <w:tc>
          <w:tcPr>
            <w:tcW w:w="52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the</w:t>
            </w:r>
          </w:p>
        </w:tc>
        <w:tc>
          <w:tcPr>
            <w:tcW w:w="0" w:type="dxa"/>
            <w:vAlign w:val="bottom"/>
          </w:tcPr>
          <w:p>
            <w:pPr>
              <w:spacing w:after="0"/>
              <w:rPr>
                <w:sz w:val="1"/>
                <w:szCs w:val="1"/>
                <w:color w:val="auto"/>
              </w:rPr>
            </w:pPr>
          </w:p>
        </w:tc>
      </w:tr>
      <w:tr>
        <w:trPr>
          <w:trHeight w:val="54"/>
        </w:trPr>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6.9 %</w:t>
            </w:r>
          </w:p>
        </w:tc>
        <w:tc>
          <w:tcPr>
            <w:tcW w:w="5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6.1 %</w:t>
            </w:r>
          </w:p>
        </w:tc>
        <w:tc>
          <w:tcPr>
            <w:tcW w:w="0" w:type="dxa"/>
            <w:vAlign w:val="bottom"/>
          </w:tcPr>
          <w:p>
            <w:pPr>
              <w:spacing w:after="0"/>
              <w:rPr>
                <w:sz w:val="1"/>
                <w:szCs w:val="1"/>
                <w:color w:val="auto"/>
              </w:rPr>
            </w:pPr>
          </w:p>
        </w:tc>
      </w:tr>
      <w:tr>
        <w:trPr>
          <w:trHeight w:val="97"/>
        </w:trPr>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Capricorn</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bottom w:val="single" w:sz="8" w:color="auto"/>
            </w:tcBorders>
          </w:tcPr>
          <w:p>
            <w:pPr>
              <w:jc w:val="right"/>
              <w:ind w:right="22"/>
              <w:spacing w:after="0" w:line="97"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520" w:type="dxa"/>
            <w:vAlign w:val="bottom"/>
            <w:tcBorders>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0" w:type="dxa"/>
            <w:vAlign w:val="bottom"/>
          </w:tcPr>
          <w:p>
            <w:pPr>
              <w:spacing w:after="0"/>
              <w:rPr>
                <w:sz w:val="1"/>
                <w:szCs w:val="1"/>
                <w:color w:val="auto"/>
              </w:rPr>
            </w:pPr>
          </w:p>
        </w:tc>
      </w:tr>
      <w:tr>
        <w:trPr>
          <w:trHeight w:val="66"/>
        </w:trPr>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760" w:type="dxa"/>
            <w:vAlign w:val="bottom"/>
          </w:tcPr>
          <w:p>
            <w:pPr>
              <w:ind w:left="180"/>
              <w:spacing w:after="0" w:line="125" w:lineRule="exact"/>
              <w:rPr>
                <w:sz w:val="20"/>
                <w:szCs w:val="20"/>
                <w:color w:val="auto"/>
              </w:rPr>
            </w:pPr>
            <w:r>
              <w:rPr>
                <w:rFonts w:ascii="Times New Roman" w:cs="Times New Roman" w:eastAsia="Times New Roman" w:hAnsi="Times New Roman"/>
                <w:sz w:val="12"/>
                <w:szCs w:val="12"/>
                <w:color w:val="auto"/>
              </w:rPr>
              <w:t>Investment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w w:val="95"/>
              </w:rPr>
              <w:t>Group</w:t>
            </w:r>
            <w:r>
              <w:rPr>
                <w:rFonts w:ascii="Times New Roman" w:cs="Times New Roman" w:eastAsia="Times New Roman" w:hAnsi="Times New Roman"/>
                <w:sz w:val="15"/>
                <w:szCs w:val="15"/>
                <w:color w:val="auto"/>
                <w:w w:val="95"/>
                <w:vertAlign w:val="superscript"/>
              </w:rPr>
              <w:t>(3)</w:t>
            </w:r>
            <w:r>
              <w:rPr>
                <w:rFonts w:ascii="Times New Roman" w:cs="Times New Roman" w:eastAsia="Times New Roman" w:hAnsi="Times New Roman"/>
                <w:sz w:val="12"/>
                <w:szCs w:val="12"/>
                <w:color w:val="auto"/>
                <w:w w:val="95"/>
              </w:rPr>
              <w:t xml:space="preserve"> </w:t>
            </w:r>
            <w:r>
              <w:rPr>
                <w:rFonts w:ascii="Times New Roman" w:cs="Times New Roman" w:eastAsia="Times New Roman" w:hAnsi="Times New Roman"/>
                <w:sz w:val="12"/>
                <w:szCs w:val="12"/>
                <w:color w:val="B4B4B4"/>
                <w:w w:val="95"/>
              </w:rPr>
              <w:t>..........</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34,227,390</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16.6 %</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34,227,390</w:t>
            </w: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12.4 %</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0" w:type="dxa"/>
            <w:vAlign w:val="bottom"/>
          </w:tcPr>
          <w:p>
            <w:pPr>
              <w:spacing w:after="0"/>
              <w:rPr>
                <w:sz w:val="1"/>
                <w:szCs w:val="1"/>
                <w:color w:val="auto"/>
              </w:rPr>
            </w:pPr>
          </w:p>
        </w:tc>
      </w:tr>
      <w:tr>
        <w:trPr>
          <w:trHeight w:val="193"/>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DCVC</w:t>
            </w: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18,114,022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8.8 %</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18,114,022</w:t>
            </w:r>
          </w:p>
        </w:tc>
        <w:tc>
          <w:tcPr>
            <w:tcW w:w="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0" w:type="dxa"/>
            <w:vAlign w:val="bottom"/>
          </w:tcPr>
          <w:p>
            <w:pPr>
              <w:spacing w:after="0"/>
              <w:rPr>
                <w:sz w:val="1"/>
                <w:szCs w:val="1"/>
                <w:color w:val="auto"/>
              </w:rPr>
            </w:pPr>
          </w:p>
        </w:tc>
      </w:tr>
      <w:tr>
        <w:trPr>
          <w:trHeight w:val="122"/>
        </w:trPr>
        <w:tc>
          <w:tcPr>
            <w:tcW w:w="76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Breakthrough</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0" w:type="dxa"/>
            <w:vAlign w:val="bottom"/>
          </w:tcPr>
          <w:p>
            <w:pPr>
              <w:ind w:left="180"/>
              <w:spacing w:after="0" w:line="125" w:lineRule="exact"/>
              <w:rPr>
                <w:sz w:val="20"/>
                <w:szCs w:val="20"/>
                <w:color w:val="auto"/>
              </w:rPr>
            </w:pPr>
            <w:r>
              <w:rPr>
                <w:rFonts w:ascii="Times New Roman" w:cs="Times New Roman" w:eastAsia="Times New Roman" w:hAnsi="Times New Roman"/>
                <w:sz w:val="12"/>
                <w:szCs w:val="12"/>
                <w:color w:val="auto"/>
              </w:rPr>
              <w:t>Energy</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w w:val="98"/>
              </w:rPr>
              <w:t xml:space="preserve">Ventures </w:t>
            </w:r>
            <w:r>
              <w:rPr>
                <w:rFonts w:ascii="Times New Roman" w:cs="Times New Roman" w:eastAsia="Times New Roman" w:hAnsi="Times New Roman"/>
                <w:sz w:val="15"/>
                <w:szCs w:val="15"/>
                <w:color w:val="auto"/>
                <w:w w:val="98"/>
                <w:vertAlign w:val="superscript"/>
              </w:rPr>
              <w:t>(5)</w:t>
            </w:r>
            <w:r>
              <w:rPr>
                <w:rFonts w:ascii="Times New Roman" w:cs="Times New Roman" w:eastAsia="Times New Roman" w:hAnsi="Times New Roman"/>
                <w:sz w:val="12"/>
                <w:szCs w:val="12"/>
                <w:color w:val="auto"/>
                <w:w w:val="98"/>
              </w:rPr>
              <w:t xml:space="preserve"> </w:t>
            </w:r>
            <w:r>
              <w:rPr>
                <w:rFonts w:ascii="Times New Roman" w:cs="Times New Roman" w:eastAsia="Times New Roman" w:hAnsi="Times New Roman"/>
                <w:sz w:val="12"/>
                <w:szCs w:val="12"/>
                <w:color w:val="B4B4B4"/>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14,074,589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6.8 %</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14,074,589</w:t>
            </w: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5.1 %</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2.4 %</w:t>
            </w:r>
          </w:p>
        </w:tc>
        <w:tc>
          <w:tcPr>
            <w:tcW w:w="0" w:type="dxa"/>
            <w:vAlign w:val="bottom"/>
          </w:tcPr>
          <w:p>
            <w:pPr>
              <w:spacing w:after="0"/>
              <w:rPr>
                <w:sz w:val="1"/>
                <w:szCs w:val="1"/>
                <w:color w:val="auto"/>
              </w:rPr>
            </w:pPr>
          </w:p>
        </w:tc>
      </w:tr>
      <w:tr>
        <w:trPr>
          <w:trHeight w:val="129"/>
        </w:trPr>
        <w:tc>
          <w:tcPr>
            <w:tcW w:w="76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Centaurus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Capital LP</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12,793,504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6.2 %</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12,793,504</w:t>
            </w: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4.6 %</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2.2 %</w:t>
            </w:r>
          </w:p>
        </w:tc>
        <w:tc>
          <w:tcPr>
            <w:tcW w:w="0" w:type="dxa"/>
            <w:vAlign w:val="bottom"/>
          </w:tcPr>
          <w:p>
            <w:pPr>
              <w:spacing w:after="0"/>
              <w:rPr>
                <w:sz w:val="1"/>
                <w:szCs w:val="1"/>
                <w:color w:val="auto"/>
              </w:rPr>
            </w:pPr>
          </w:p>
        </w:tc>
      </w:tr>
      <w:tr>
        <w:trPr>
          <w:trHeight w:val="129"/>
        </w:trPr>
        <w:tc>
          <w:tcPr>
            <w:tcW w:w="76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NEOs &amp;</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Directors</w:t>
            </w:r>
            <w:r>
              <w:rPr>
                <w:rFonts w:ascii="Times New Roman" w:cs="Times New Roman" w:eastAsia="Times New Roman" w:hAnsi="Times New Roman"/>
                <w:sz w:val="12"/>
                <w:szCs w:val="12"/>
                <w:color w:val="B4B4B4"/>
              </w:rPr>
              <w: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9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980" w:type="dxa"/>
            <w:vAlign w:val="bottom"/>
            <w:gridSpan w:val="4"/>
            <w:shd w:val="clear" w:color="auto" w:fill="CCEEFF"/>
          </w:tcPr>
          <w:p>
            <w:pPr>
              <w:ind w:left="40"/>
              <w:spacing w:after="0" w:line="157" w:lineRule="exact"/>
              <w:rPr>
                <w:sz w:val="20"/>
                <w:szCs w:val="20"/>
                <w:color w:val="auto"/>
              </w:rPr>
            </w:pPr>
            <w:r>
              <w:rPr>
                <w:rFonts w:ascii="Times New Roman" w:cs="Times New Roman" w:eastAsia="Times New Roman" w:hAnsi="Times New Roman"/>
                <w:sz w:val="12"/>
                <w:szCs w:val="12"/>
                <w:color w:val="auto"/>
              </w:rPr>
              <w:t>Anne Cleary</w:t>
            </w:r>
            <w:r>
              <w:rPr>
                <w:rFonts w:ascii="Times New Roman" w:cs="Times New Roman" w:eastAsia="Times New Roman" w:hAnsi="Times New Roman"/>
                <w:sz w:val="15"/>
                <w:szCs w:val="15"/>
                <w:color w:val="auto"/>
                <w:vertAlign w:val="superscript"/>
              </w:rPr>
              <w:t>(7)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161,865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161,865</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980" w:type="dxa"/>
            <w:vAlign w:val="bottom"/>
            <w:gridSpan w:val="4"/>
            <w:shd w:val="clear" w:color="auto" w:fill="CCEEFF"/>
          </w:tcPr>
          <w:p>
            <w:pPr>
              <w:ind w:left="40"/>
              <w:spacing w:after="0" w:line="155" w:lineRule="exact"/>
              <w:rPr>
                <w:sz w:val="20"/>
                <w:szCs w:val="20"/>
                <w:color w:val="auto"/>
              </w:rPr>
            </w:pPr>
            <w:r>
              <w:rPr>
                <w:rFonts w:ascii="Times New Roman" w:cs="Times New Roman" w:eastAsia="Times New Roman" w:hAnsi="Times New Roman"/>
                <w:sz w:val="12"/>
                <w:szCs w:val="12"/>
                <w:color w:val="auto"/>
              </w:rPr>
              <w:t>Sarah Jewett</w:t>
            </w:r>
            <w:r>
              <w:rPr>
                <w:rFonts w:ascii="Times New Roman" w:cs="Times New Roman" w:eastAsia="Times New Roman" w:hAnsi="Times New Roman"/>
                <w:sz w:val="15"/>
                <w:szCs w:val="15"/>
                <w:color w:val="auto"/>
                <w:vertAlign w:val="superscript"/>
              </w:rPr>
              <w:t>(8)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673,687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673,687</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Robert Keehan</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Tim Latimer</w:t>
            </w:r>
            <w:r>
              <w:rPr>
                <w:rFonts w:ascii="Times New Roman" w:cs="Times New Roman" w:eastAsia="Times New Roman" w:hAnsi="Times New Roman"/>
                <w:sz w:val="15"/>
                <w:szCs w:val="15"/>
                <w:color w:val="auto"/>
                <w:vertAlign w:val="superscript"/>
              </w:rPr>
              <w:t>(9)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7,700,753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79.1 %</w:t>
            </w:r>
          </w:p>
        </w:tc>
        <w:tc>
          <w:tcPr>
            <w:tcW w:w="4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7,700,753</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83.8 %</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47.9 %</w:t>
            </w:r>
          </w:p>
        </w:tc>
        <w:tc>
          <w:tcPr>
            <w:tcW w:w="0" w:type="dxa"/>
            <w:vAlign w:val="bottom"/>
          </w:tcPr>
          <w:p>
            <w:pPr>
              <w:spacing w:after="0"/>
              <w:rPr>
                <w:sz w:val="1"/>
                <w:szCs w:val="1"/>
                <w:color w:val="auto"/>
              </w:rPr>
            </w:pPr>
          </w:p>
        </w:tc>
      </w:tr>
      <w:tr>
        <w:trPr>
          <w:trHeight w:val="169"/>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xml:space="preserve">Trey Lowe </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Jack Norbeck</w:t>
            </w:r>
            <w:r>
              <w:rPr>
                <w:rFonts w:ascii="Times New Roman" w:cs="Times New Roman" w:eastAsia="Times New Roman" w:hAnsi="Times New Roman"/>
                <w:sz w:val="15"/>
                <w:szCs w:val="15"/>
                <w:color w:val="auto"/>
                <w:vertAlign w:val="superscript"/>
              </w:rPr>
              <w:t>(10)</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2,188,905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4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2,188,905</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25.8 %</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14.2 %</w:t>
            </w:r>
          </w:p>
        </w:tc>
        <w:tc>
          <w:tcPr>
            <w:tcW w:w="0" w:type="dxa"/>
            <w:vAlign w:val="bottom"/>
          </w:tcPr>
          <w:p>
            <w:pPr>
              <w:spacing w:after="0"/>
              <w:rPr>
                <w:sz w:val="1"/>
                <w:szCs w:val="1"/>
                <w:color w:val="auto"/>
              </w:rPr>
            </w:pPr>
          </w:p>
        </w:tc>
      </w:tr>
      <w:tr>
        <w:trPr>
          <w:trHeight w:val="183"/>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Dawn Owens</w:t>
            </w:r>
            <w:r>
              <w:rPr>
                <w:rFonts w:ascii="Times New Roman" w:cs="Times New Roman" w:eastAsia="Times New Roman" w:hAnsi="Times New Roman"/>
                <w:sz w:val="15"/>
                <w:szCs w:val="15"/>
                <w:color w:val="auto"/>
                <w:vertAlign w:val="superscript"/>
              </w:rPr>
              <w:t>(11)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716,102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716,102</w:t>
            </w: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76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Gustavo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80" w:type="dxa"/>
            <w:vAlign w:val="bottom"/>
            <w:gridSpan w:val="4"/>
          </w:tcPr>
          <w:p>
            <w:pPr>
              <w:ind w:left="180"/>
              <w:spacing w:after="0" w:line="155" w:lineRule="exact"/>
              <w:rPr>
                <w:sz w:val="20"/>
                <w:szCs w:val="20"/>
                <w:color w:val="auto"/>
              </w:rPr>
            </w:pPr>
            <w:r>
              <w:rPr>
                <w:rFonts w:ascii="Times New Roman" w:cs="Times New Roman" w:eastAsia="Times New Roman" w:hAnsi="Times New Roman"/>
                <w:sz w:val="12"/>
                <w:szCs w:val="12"/>
                <w:color w:val="auto"/>
              </w:rPr>
              <w:t>Torres</w:t>
            </w:r>
            <w:r>
              <w:rPr>
                <w:rFonts w:ascii="Times New Roman" w:cs="Times New Roman" w:eastAsia="Times New Roman" w:hAnsi="Times New Roman"/>
                <w:sz w:val="15"/>
                <w:szCs w:val="15"/>
                <w:color w:val="auto"/>
                <w:vertAlign w:val="superscript"/>
              </w:rPr>
              <w:t>(12)</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229,307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229,307</w:t>
            </w: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9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Jessica Uhl</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9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David Ulrey</w:t>
            </w:r>
            <w:r>
              <w:rPr>
                <w:rFonts w:ascii="Times New Roman" w:cs="Times New Roman" w:eastAsia="Times New Roman" w:hAnsi="Times New Roman"/>
                <w:sz w:val="15"/>
                <w:szCs w:val="15"/>
                <w:color w:val="auto"/>
                <w:vertAlign w:val="superscript"/>
              </w:rPr>
              <w:t>(13)</w:t>
            </w:r>
            <w:r>
              <w:rPr>
                <w:rFonts w:ascii="Times New Roman" w:cs="Times New Roman" w:eastAsia="Times New Roman" w:hAnsi="Times New Roman"/>
                <w:sz w:val="12"/>
                <w:szCs w:val="12"/>
                <w:color w:val="B4B4B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837,051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837,051</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7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Margaret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Whitman</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Quinn Woodard</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Jr.</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226,310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226,310</w:t>
            </w: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32"/>
        </w:trPr>
        <w:tc>
          <w:tcPr>
            <w:tcW w:w="7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Ion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Yadigaroglu</w:t>
            </w:r>
            <w:r>
              <w:rPr>
                <w:rFonts w:ascii="Times New Roman" w:cs="Times New Roman" w:eastAsia="Times New Roman" w:hAnsi="Times New Roman"/>
                <w:sz w:val="15"/>
                <w:szCs w:val="15"/>
                <w:color w:val="auto"/>
                <w:vertAlign w:val="superscript"/>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34,227,390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16.6 %</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34,227,390</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12.4 %</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0" w:type="dxa"/>
            <w:vAlign w:val="bottom"/>
          </w:tcPr>
          <w:p>
            <w:pPr>
              <w:spacing w:after="0"/>
              <w:rPr>
                <w:sz w:val="1"/>
                <w:szCs w:val="1"/>
                <w:color w:val="auto"/>
              </w:rPr>
            </w:pPr>
          </w:p>
        </w:tc>
      </w:tr>
      <w:tr>
        <w:trPr>
          <w:trHeight w:val="178"/>
        </w:trPr>
        <w:tc>
          <w:tcPr>
            <w:tcW w:w="7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All executive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760" w:type="dxa"/>
            <w:vAlign w:val="bottom"/>
            <w:shd w:val="clear" w:color="auto" w:fill="CCEEFF"/>
          </w:tcPr>
          <w:p>
            <w:pPr>
              <w:ind w:left="180"/>
              <w:spacing w:after="0" w:line="79" w:lineRule="exact"/>
              <w:rPr>
                <w:sz w:val="20"/>
                <w:szCs w:val="20"/>
                <w:color w:val="auto"/>
              </w:rPr>
            </w:pPr>
            <w:r>
              <w:rPr>
                <w:rFonts w:ascii="Times New Roman" w:cs="Times New Roman" w:eastAsia="Times New Roman" w:hAnsi="Times New Roman"/>
                <w:sz w:val="9"/>
                <w:szCs w:val="9"/>
                <w:color w:val="auto"/>
              </w:rPr>
              <w:t>officers,</w:t>
            </w: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60" w:type="dxa"/>
            <w:vAlign w:val="bottom"/>
            <w:gridSpan w:val="2"/>
            <w:shd w:val="clear" w:color="auto" w:fill="CCEEFF"/>
          </w:tcPr>
          <w:p>
            <w:pPr>
              <w:ind w:left="180"/>
              <w:spacing w:after="0" w:line="125" w:lineRule="exact"/>
              <w:rPr>
                <w:sz w:val="20"/>
                <w:szCs w:val="20"/>
                <w:color w:val="auto"/>
              </w:rPr>
            </w:pPr>
            <w:r>
              <w:rPr>
                <w:rFonts w:ascii="Times New Roman" w:cs="Times New Roman" w:eastAsia="Times New Roman" w:hAnsi="Times New Roman"/>
                <w:sz w:val="12"/>
                <w:szCs w:val="12"/>
                <w:color w:val="auto"/>
              </w:rPr>
              <w:t>directors and</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2"/>
                <w:szCs w:val="12"/>
                <w:color w:val="auto"/>
              </w:rPr>
              <w:t>director</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1"/>
                <w:szCs w:val="11"/>
                <w:color w:val="auto"/>
              </w:rPr>
              <w:t>nominees as a</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180"/>
              <w:spacing w:after="0" w:line="136" w:lineRule="exact"/>
              <w:rPr>
                <w:sz w:val="20"/>
                <w:szCs w:val="20"/>
                <w:color w:val="auto"/>
              </w:rPr>
            </w:pPr>
            <w:r>
              <w:rPr>
                <w:rFonts w:ascii="Times New Roman" w:cs="Times New Roman" w:eastAsia="Times New Roman" w:hAnsi="Times New Roman"/>
                <w:sz w:val="12"/>
                <w:szCs w:val="12"/>
                <w:color w:val="auto"/>
              </w:rPr>
              <w:t xml:space="preserve">group </w:t>
            </w:r>
            <w:r>
              <w:rPr>
                <w:rFonts w:ascii="Times New Roman" w:cs="Times New Roman" w:eastAsia="Times New Roman" w:hAnsi="Times New Roman"/>
                <w:sz w:val="7"/>
                <w:szCs w:val="7"/>
                <w:color w:val="auto"/>
              </w:rPr>
              <w:t>(14)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17.9 %</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13.4 %</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71.8 %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64.3 %</w:t>
            </w:r>
          </w:p>
        </w:tc>
        <w:tc>
          <w:tcPr>
            <w:tcW w:w="0" w:type="dxa"/>
            <w:vAlign w:val="bottom"/>
          </w:tcPr>
          <w:p>
            <w:pPr>
              <w:spacing w:after="0"/>
              <w:rPr>
                <w:sz w:val="1"/>
                <w:szCs w:val="1"/>
                <w:color w:val="auto"/>
              </w:rPr>
            </w:pPr>
          </w:p>
        </w:tc>
      </w:tr>
      <w:tr>
        <w:trPr>
          <w:trHeight w:val="158"/>
        </w:trPr>
        <w:tc>
          <w:tcPr>
            <w:tcW w:w="9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individuals</w:t>
            </w:r>
            <w:r>
              <w:rPr>
                <w:rFonts w:ascii="Times New Roman" w:cs="Times New Roman" w:eastAsia="Times New Roman" w:hAnsi="Times New Roman"/>
                <w:sz w:val="12"/>
                <w:szCs w:val="12"/>
                <w:color w:val="B4B4B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37,807,960</w:t>
            </w: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37,807,960</w:t>
            </w:r>
          </w:p>
        </w:tc>
        <w:tc>
          <w:tcPr>
            <w:tcW w:w="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9,889,658</w:t>
            </w: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9,889,658</w:t>
            </w:r>
          </w:p>
        </w:tc>
        <w:tc>
          <w:tcPr>
            <w:tcW w:w="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-4065905</wp:posOffset>
            </wp:positionV>
            <wp:extent cx="716026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hanging="267"/>
        <w:spacing w:after="0"/>
        <w:tabs>
          <w:tab w:leader="none" w:pos="142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1.0%.</w:t>
      </w:r>
    </w:p>
    <w:p>
      <w:pPr>
        <w:spacing w:after="0" w:line="10" w:lineRule="exact"/>
        <w:rPr>
          <w:sz w:val="20"/>
          <w:szCs w:val="20"/>
          <w:color w:val="auto"/>
        </w:rPr>
      </w:pPr>
    </w:p>
    <w:p>
      <w:pPr>
        <w:ind w:left="1420" w:right="1219" w:hanging="267"/>
        <w:spacing w:after="0" w:line="264" w:lineRule="auto"/>
        <w:tabs>
          <w:tab w:leader="none" w:pos="142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voting power with respect to all shares of our Class A common stock and Class B common stock, voting together as a single class, except under limited circumstances. Each share of our Class A common stock is entitled to one vote per share. Each share of our Class B common stock is entitled to 40 votes per share. For more information, see “Description of Capital Stock.”</w:t>
      </w:r>
    </w:p>
    <w:p>
      <w:pPr>
        <w:spacing w:after="0" w:line="1" w:lineRule="exact"/>
        <w:rPr>
          <w:rFonts w:ascii="Times New Roman" w:cs="Times New Roman" w:eastAsia="Times New Roman" w:hAnsi="Times New Roman"/>
          <w:sz w:val="11"/>
          <w:szCs w:val="11"/>
          <w:color w:val="auto"/>
        </w:rPr>
      </w:pPr>
    </w:p>
    <w:p>
      <w:pPr>
        <w:ind w:left="1420" w:right="1259" w:hanging="267"/>
        <w:spacing w:after="0" w:line="259" w:lineRule="auto"/>
        <w:tabs>
          <w:tab w:leader="none" w:pos="142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of Class A common stock held by Devon Technology Ventures Holdings, L.L.C. (“Devon Technology”). As the indirect owner of 100% of the outstanding membership interests in Devon Technology, Devon Energy Corporation may be deemed to beneficially own all of the shares held by Devon Technology. Devon Energy Corporation is a publicly traded company listed on the New York Stock Exchange. The address for each of the foregoing entities is 333 West Sheridan Avenue, Oklahoma City, Oklahoma 73102.</w:t>
      </w:r>
    </w:p>
    <w:p>
      <w:pPr>
        <w:spacing w:after="0" w:line="1" w:lineRule="exact"/>
        <w:rPr>
          <w:rFonts w:ascii="Times New Roman" w:cs="Times New Roman" w:eastAsia="Times New Roman" w:hAnsi="Times New Roman"/>
          <w:sz w:val="11"/>
          <w:szCs w:val="11"/>
          <w:color w:val="auto"/>
        </w:rPr>
      </w:pPr>
    </w:p>
    <w:p>
      <w:pPr>
        <w:ind w:left="1420" w:right="1179" w:hanging="267"/>
        <w:spacing w:after="0" w:line="265" w:lineRule="auto"/>
        <w:tabs>
          <w:tab w:leader="none" w:pos="142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12,055,467 shares of Class A common stock held by Technology Impact Fund, LP, (ii) 14,962,430 shares of Class A common stock held by Technology Impact Growth Fund, II, L.P., (iii) 5,448,761 shares of Class A common stock held by TIGF II Direct Strategies LLC – Series 5 and (iv) 1,760,732 shares of Class A common stock held by TIGF II Direct Strategies LLC – Series 7. TIF Partners, LLC is the general partner of Technology Impact Fund, LP and TIGF Partners II, LLC is the general partner of Technology Impact Growth Fund, II, L.P. and the manager of (i) TIGF II Direct Strategies LLC – Series 5 and (ii) TIGF II Direct Strategies LLC – Series 7. Ion Yadigaroglu and Dipender Saluja, as managers of TIF Partners, LLC and TIGF Partners II, LLC, share the power to vote and dispose of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shares held by Technology Impact Fund, LP, Technology Impact Growth Fund, II, L.P., TIGF II Direct Strategies LLC – Series 5 and TIGF</w:t>
      </w:r>
    </w:p>
    <w:p>
      <w:pPr>
        <w:spacing w:after="0" w:line="22" w:lineRule="exact"/>
        <w:rPr>
          <w:sz w:val="20"/>
          <w:szCs w:val="20"/>
          <w:color w:val="auto"/>
        </w:rPr>
      </w:pPr>
    </w:p>
    <w:p>
      <w:pPr>
        <w:ind w:left="1420" w:right="1479"/>
        <w:spacing w:after="0" w:line="258" w:lineRule="auto"/>
        <w:rPr>
          <w:sz w:val="20"/>
          <w:szCs w:val="20"/>
          <w:color w:val="auto"/>
        </w:rPr>
      </w:pPr>
      <w:r>
        <w:rPr>
          <w:rFonts w:ascii="Times New Roman" w:cs="Times New Roman" w:eastAsia="Times New Roman" w:hAnsi="Times New Roman"/>
          <w:sz w:val="11"/>
          <w:szCs w:val="11"/>
          <w:color w:val="auto"/>
        </w:rPr>
        <w:t>II Direct Strategies LLC – Series 7. The address for each of the foregoing entities is 250 University Avenue, Suite 300, Palo Alto, CA 94301.</w:t>
      </w:r>
    </w:p>
    <w:p>
      <w:pPr>
        <w:ind w:left="1420" w:right="1199" w:hanging="267"/>
        <w:spacing w:after="0" w:line="260"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8,806,107 shares of Class A common stock held by DCVC Climate Select, L.P., (“DCVC Climate”) and (ii) 9,307,915 shares of Class A common stock held by DCVC VI, L.P., (“DCVC VI”). DCVC Climate Select GP, LLC (“DCVC Climate GP”) is the general partner of DCVC Climate, and DCVC VI GP, LLC (“DCVC VI GP”) is the general partner of DCVC VI. Zachary Bogue and Matthew Ocko are the managing members of each of DCVC Climate GP and DCVC VI GP. Zachary Bogue and Matthew Ocko exercise voting and dispositive power over the shares held by DCVC Climate and DCVC VI. The address for each of the foregoing entities is 270 University Avenue, Palo Alto, California 94301.</w:t>
      </w:r>
    </w:p>
    <w:p>
      <w:pPr>
        <w:spacing w:after="0" w:line="1" w:lineRule="exact"/>
        <w:rPr>
          <w:rFonts w:ascii="Times New Roman" w:cs="Times New Roman" w:eastAsia="Times New Roman" w:hAnsi="Times New Roman"/>
          <w:sz w:val="11"/>
          <w:szCs w:val="11"/>
          <w:color w:val="auto"/>
        </w:rPr>
      </w:pPr>
    </w:p>
    <w:p>
      <w:pPr>
        <w:ind w:left="1420" w:right="1239" w:hanging="267"/>
        <w:spacing w:after="0" w:line="261"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11,512,307 shares of Class A common stock held by Breakthrough Energy Ventures, LLC and (ii) 2,562,282 shares of Class A common stock held by Breakthrough Energy Ventures Select Fund I, L.P. Breakthrough Energy Ventures, LLC is managed by Breakthrough Energy Ventures Management, L.P., the general partner of which is Breakthrough Energy Ventures Management GP, LLC. Breakthrough Energy Ventures Select Fund I, L.P.’s general partner is Breakthrough Energy Ventures Select GP, L.P., the general partner of which is Breakthrough Energy Ventures Select Ultimate GP, LLC, the sole member of which is Breakthrough Energy Ventures Management GP, LLC. The address for each of the foregoing entities is 250 Summer Street, 4th Floor, Boston, Massachusetts 02210.</w:t>
      </w:r>
    </w:p>
    <w:p>
      <w:pPr>
        <w:spacing w:after="0" w:line="1" w:lineRule="exact"/>
        <w:rPr>
          <w:rFonts w:ascii="Times New Roman" w:cs="Times New Roman" w:eastAsia="Times New Roman" w:hAnsi="Times New Roman"/>
          <w:sz w:val="11"/>
          <w:szCs w:val="11"/>
          <w:color w:val="auto"/>
        </w:rPr>
      </w:pPr>
    </w:p>
    <w:p>
      <w:pPr>
        <w:jc w:val="both"/>
        <w:ind w:left="1420" w:right="1319" w:hanging="267"/>
        <w:spacing w:after="0" w:line="260"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of Class A common stock held by Centaurus Capital LP. Centaurus Holdings, LLC is the General Partner of Centaurus Capital LP, and is controlled by its Manager, John D. Arnold. The address for each of the foregoing entities and Mr. Arnold is 1717 West Loop South, Suite 1800, Houston, TX 77027.</w:t>
      </w:r>
    </w:p>
    <w:p>
      <w:pPr>
        <w:ind w:left="1420" w:right="1319" w:hanging="267"/>
        <w:spacing w:after="0" w:line="261"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161,865 shares of Class A common stock issuable pursuant to outstanding stock options held by Ms. Cleary that are currently exercisable or will be exercisable within 60 days of April 29, 2026.</w:t>
      </w:r>
    </w:p>
    <w:p>
      <w:pPr>
        <w:ind w:left="1420" w:right="1379" w:hanging="267"/>
        <w:spacing w:after="0" w:line="260"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357,683 shares of Class A common stock held by Ms. Jewett and (ii) 316,004 shares of Class A common stock issuable pursuant to outstanding stock options held by Ms. Jewett that are currently exercisable or will be exercisable within 60 days of April 29, 2026.</w:t>
      </w:r>
    </w:p>
    <w:p>
      <w:pPr>
        <w:ind w:left="1420" w:right="1239" w:hanging="267"/>
        <w:spacing w:after="0" w:line="285"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6,297,923 shares of Class B common stock held by Mr. Latimer and (ii) 1,402,830 shares of Class B common stock issuable pursuant to outstanding stock options held by Mr. Latimer that are currently exercisable or will be exercisable within 60 days of April 29, 2026.</w:t>
      </w:r>
    </w:p>
    <w:p>
      <w:pPr>
        <w:spacing w:after="0" w:line="114" w:lineRule="exact"/>
        <w:rPr>
          <w:rFonts w:ascii="Times New Roman" w:cs="Times New Roman" w:eastAsia="Times New Roman" w:hAnsi="Times New Roman"/>
          <w:sz w:val="11"/>
          <w:szCs w:val="11"/>
          <w:color w:val="auto"/>
        </w:rPr>
      </w:pPr>
    </w:p>
    <w:p>
      <w:pPr>
        <w:jc w:val="both"/>
        <w:ind w:left="1420" w:right="1279" w:hanging="267"/>
        <w:spacing w:after="0" w:line="258"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1,487,490 shares of Class B common stock held by Mr. Norbeck and (ii) 701,415 shares of Class B common stock issuable pursuant to outstanding stock options held by Mr. Norbeck that are currently exercisable or will be exercisable within 60 days of April 29, 2026.</w:t>
      </w:r>
    </w:p>
    <w:p>
      <w:pPr>
        <w:ind w:left="1420" w:right="1299" w:hanging="267"/>
        <w:spacing w:after="0" w:line="264"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716,102 shares of Class A common stock issuable pursuant to outstanding stock options held by Ms. Owens that are currently exercisable or will be exercisable within 60 days of April 29, 2026.</w:t>
      </w:r>
    </w:p>
    <w:p>
      <w:pPr>
        <w:ind w:left="1420" w:right="1379" w:hanging="267"/>
        <w:spacing w:after="0" w:line="258"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140,764 shares of Class A common stock held by Mr. Torres and (ii) 88,543 shares of Class A common stock issuable pursuant to outstanding stock options held by Mr. Torres that are currently exercisable or will be exercisable within 60 days of April 29, 2026.</w:t>
      </w:r>
    </w:p>
    <w:p>
      <w:pPr>
        <w:ind w:left="1420" w:right="1379" w:hanging="267"/>
        <w:spacing w:after="0" w:line="264"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837,051 shares of Class A common stock issuable pursuant to outstanding stock options held by Mr. Ulrey that are currently exercisable or will be exercisable within 60 days of April 29, 2026.</w:t>
      </w:r>
    </w:p>
    <w:p>
      <w:pPr>
        <w:ind w:left="1420" w:right="1219" w:hanging="267"/>
        <w:spacing w:after="0" w:line="289" w:lineRule="auto"/>
        <w:tabs>
          <w:tab w:leader="none" w:pos="142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226,310 shares of Class A common stock issuable pursuant to outstanding stock options held by Mr. Woodard that are currently exercisable or will be exercisable within 60 days of April 29, 2026.</w:t>
      </w:r>
    </w:p>
    <w:p>
      <w:pPr>
        <w:sectPr>
          <w:pgSz w:w="11900" w:h="16838" w:orient="portrait"/>
          <w:cols w:equalWidth="0" w:num="1">
            <w:col w:w="9019"/>
          </w:cols>
          <w:pgMar w:left="1440" w:top="110" w:right="1440" w:bottom="94"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The following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www.sec.gov.</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Related Party Agreements in Effect Prior to this Offering</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Founder Share Exchange Agreement and Equity Award Exchange Agreement</w:t>
      </w:r>
    </w:p>
    <w:p>
      <w:pPr>
        <w:spacing w:after="0" w:line="14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To facilitate the Founder Share Exchange, we will enter into the Founder Share Exchange Agreement with our Co-Founders, Tim Latimer and Jack Norbeck, PhD., pursuant to which 7,785,414 shares of our Class A common stock expected to be held by Mr. Latimer and Dr. Norbeck following the Reclassification will automatically be exchanged for an equivalent number of shares of Class B common stock immediately prior to the completion of this offering.</w:t>
      </w:r>
    </w:p>
    <w:p>
      <w:pPr>
        <w:spacing w:after="0" w:line="99"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In addition, we will enter into the Equity Award Exchange Agreement with each of Mr. Latimer and Dr. Norbeck, pursuant to which, following the completion of this offering, each of Mr. Latimer and Dr. Norbeck will have a right (but not an obligation) to exchange any shares of Class A common stock received by him upon the exercise of options for an equivalent number of shares of Class B common stock. This right applies only to shares of Class A common stock received by either of Mr. Latimer or Dr. Norbeck upon the exercise of options that were outstanding immediately prior to the completion of this offering. As of December 31, 2025 , there were 18,794,508 shares of our Class A common stock issuable upon the exercise of options held by Mr. Latimer (without regard to vesting status), and there were 1,475,000 shares of our Class A common stock issuable upon the exercise of options held by Dr. Norbeck (without regard to vesting status). All of these shares of Class A common stock could be exchanged, following vesting and exercise or settlement, for an equivalent number of shares of our Class B common stock.</w:t>
      </w:r>
    </w:p>
    <w:p>
      <w:pPr>
        <w:spacing w:after="0" w:line="2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Issuances</w:t>
      </w:r>
    </w:p>
    <w:p>
      <w:pPr>
        <w:spacing w:after="0" w:line="144" w:lineRule="exact"/>
        <w:rPr>
          <w:sz w:val="20"/>
          <w:szCs w:val="20"/>
          <w:color w:val="auto"/>
        </w:rPr>
      </w:pPr>
    </w:p>
    <w:p>
      <w:pPr>
        <w:ind w:left="1160" w:right="1259" w:firstLine="258"/>
        <w:spacing w:after="0" w:line="176" w:lineRule="exact"/>
        <w:rPr>
          <w:sz w:val="20"/>
          <w:szCs w:val="20"/>
          <w:color w:val="auto"/>
        </w:rPr>
      </w:pPr>
      <w:r>
        <w:rPr>
          <w:rFonts w:ascii="Times New Roman" w:cs="Times New Roman" w:eastAsia="Times New Roman" w:hAnsi="Times New Roman"/>
          <w:sz w:val="14"/>
          <w:szCs w:val="14"/>
          <w:color w:val="auto"/>
        </w:rPr>
        <w:t>In 2024, we issued an aggregate of 122,690,461 shares of our Series D-1 Preferred Stock, Series D-2 Preferred Stock and Series D-3 Preferred Stock (including 4,766,559 shares of Series 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Preferred Stock issued upon the conversion of a convertible note outstanding and 112,098 shares of Series 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4 Preferred Stock issued upon the conversion of a SAFE), certain of which were issued to related persons in the amounts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0" w:gutter="0" w:footer="0" w:header="0"/>
          <w:type w:val="continuous"/>
        </w:sectPr>
      </w:pPr>
    </w:p>
    <w:bookmarkStart w:id="121" w:name="page122"/>
    <w:bookmarkEnd w:id="12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In 2025 and 2026, we issued an aggregate of 56,537,255 shares of our Series E-1 Preferred Stock, certain of which were issued to related persons in the amounts set forth in the table below.</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Subscriber</w:t>
            </w:r>
          </w:p>
        </w:tc>
        <w:tc>
          <w:tcPr>
            <w:tcW w:w="9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Issuance Date</w:t>
            </w:r>
          </w:p>
        </w:tc>
        <w:tc>
          <w:tcPr>
            <w:tcW w:w="19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Subscription</w:t>
            </w:r>
          </w:p>
        </w:tc>
        <w:tc>
          <w:tcPr>
            <w:tcW w:w="0" w:type="dxa"/>
            <w:vAlign w:val="bottom"/>
          </w:tcPr>
          <w:p>
            <w:pPr>
              <w:spacing w:after="0"/>
              <w:rPr>
                <w:sz w:val="1"/>
                <w:szCs w:val="1"/>
                <w:color w:val="auto"/>
              </w:rPr>
            </w:pPr>
          </w:p>
        </w:tc>
      </w:tr>
      <w:tr>
        <w:trPr>
          <w:trHeight w:val="150"/>
        </w:trPr>
        <w:tc>
          <w:tcPr>
            <w:tcW w:w="29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9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(Series)</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Continuity Fund I, LP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 2024</w:t>
            </w:r>
          </w:p>
        </w:tc>
        <w:tc>
          <w:tcPr>
            <w:tcW w:w="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2,961,734</w:t>
            </w: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Cosine Fund 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Feb 2024</w:t>
            </w: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987,244</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DCVC Climate Select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Feb 2024</w:t>
            </w:r>
          </w:p>
        </w:tc>
        <w:tc>
          <w:tcPr>
            <w:tcW w:w="8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3,948,979</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DCVC VI,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Feb 2024</w:t>
            </w:r>
          </w:p>
        </w:tc>
        <w:tc>
          <w:tcPr>
            <w:tcW w:w="88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color w:val="auto"/>
              </w:rPr>
              <w:t>3,948,978</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Technology Impact Growth Fund II,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Feb 2024</w:t>
            </w:r>
          </w:p>
        </w:tc>
        <w:tc>
          <w:tcPr>
            <w:tcW w:w="8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3,948,977</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Energy Climate Capital I, LLC </w:t>
            </w:r>
            <w:r>
              <w:rPr>
                <w:rFonts w:ascii="Times New Roman" w:cs="Times New Roman" w:eastAsia="Times New Roman" w:hAnsi="Times New Roman"/>
                <w:sz w:val="14"/>
                <w:szCs w:val="14"/>
                <w:color w:val="B4B4B4"/>
              </w:rPr>
              <w:t>............................</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Feb 2024</w:t>
            </w: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786,217</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(Series D-1)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$2.53230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DCVC Climate Select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946,754</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DCVC VI,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946,754</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TIGF II Direct Strategies LLC – Series 5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7,574,036</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Technology Impact Growth Fund II,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8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color w:val="auto"/>
              </w:rPr>
              <w:t>3,787,018</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145"/>
        </w:trPr>
        <w:tc>
          <w:tcPr>
            <w:tcW w:w="290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Breakthrough Energy Ventures Select Fund I,</w:t>
            </w:r>
          </w:p>
        </w:tc>
        <w:tc>
          <w:tcPr>
            <w:tcW w:w="94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1,420,131</w:t>
            </w:r>
          </w:p>
        </w:tc>
        <w:tc>
          <w:tcPr>
            <w:tcW w:w="1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193"/>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L.P. </w:t>
            </w:r>
            <w:r>
              <w:rPr>
                <w:rFonts w:ascii="Times New Roman" w:cs="Times New Roman" w:eastAsia="Times New Roman" w:hAnsi="Times New Roman"/>
                <w:sz w:val="14"/>
                <w:szCs w:val="14"/>
                <w:color w:val="B4B4B4"/>
              </w:rPr>
              <w:t>...................................................................</w:t>
            </w:r>
          </w:p>
        </w:tc>
        <w:tc>
          <w:tcPr>
            <w:tcW w:w="9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Continuity Fund 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946,754</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Cosine Fund I,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2024</w:t>
            </w:r>
          </w:p>
        </w:tc>
        <w:tc>
          <w:tcPr>
            <w:tcW w:w="8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378,701</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$5.28120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Devon Technology Ventures Holdings, L.L.C.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88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99"/>
              </w:rPr>
              <w:t>6,118,752</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E-1)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145"/>
        </w:trPr>
        <w:tc>
          <w:tcPr>
            <w:tcW w:w="290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Breakthrough Energy Ventures Select Fund I,</w:t>
            </w:r>
          </w:p>
        </w:tc>
        <w:tc>
          <w:tcPr>
            <w:tcW w:w="94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2,141,563 (Series E-1)</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193"/>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L.P. </w:t>
            </w:r>
            <w:r>
              <w:rPr>
                <w:rFonts w:ascii="Times New Roman" w:cs="Times New Roman" w:eastAsia="Times New Roman" w:hAnsi="Times New Roman"/>
                <w:sz w:val="14"/>
                <w:szCs w:val="14"/>
                <w:color w:val="B4B4B4"/>
              </w:rPr>
              <w:t>..................................................................</w:t>
            </w:r>
          </w:p>
        </w:tc>
        <w:tc>
          <w:tcPr>
            <w:tcW w:w="940" w:type="dxa"/>
            <w:vAlign w:val="bottom"/>
            <w:gridSpan w:val="2"/>
            <w:vMerge w:val="continue"/>
            <w:shd w:val="clear" w:color="auto" w:fill="CCEEFF"/>
          </w:tcPr>
          <w:p>
            <w:pPr>
              <w:spacing w:after="0"/>
              <w:rPr>
                <w:sz w:val="16"/>
                <w:szCs w:val="16"/>
                <w:color w:val="auto"/>
              </w:rPr>
            </w:pPr>
          </w:p>
        </w:tc>
        <w:tc>
          <w:tcPr>
            <w:tcW w:w="1920" w:type="dxa"/>
            <w:vAlign w:val="bottom"/>
            <w:gridSpan w:val="4"/>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Continuity Fund 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611,875</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(Series E-1)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Congruent Cosine Fund I,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1,223,750 (Series E-1)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DCVC Climate Select,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1,223,750 (Series E-1)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DCVC VI, L.P. </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1,921,288 (Series E-1)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19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Technology Impact Growth Fund II, L.P. </w:t>
            </w:r>
            <w:r>
              <w:rPr>
                <w:rFonts w:ascii="Times New Roman" w:cs="Times New Roman" w:eastAsia="Times New Roman" w:hAnsi="Times New Roman"/>
                <w:sz w:val="14"/>
                <w:szCs w:val="14"/>
                <w:color w:val="B4B4B4"/>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1,223,750 (Series E-1)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TIGF II Direct Strategies LLC - Series 7</w:t>
            </w:r>
            <w:r>
              <w:rPr>
                <w:rFonts w:ascii="Times New Roman" w:cs="Times New Roman" w:eastAsia="Times New Roman" w:hAnsi="Times New Roman"/>
                <w:sz w:val="14"/>
                <w:szCs w:val="14"/>
                <w:color w:val="B4B4B4"/>
              </w:rPr>
              <w:t>.............</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Dec 2025</w:t>
            </w:r>
          </w:p>
        </w:tc>
        <w:tc>
          <w:tcPr>
            <w:tcW w:w="19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2,447,501 (Series E-1)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Investor Rights Agreements</w:t>
      </w:r>
    </w:p>
    <w:p>
      <w:pPr>
        <w:spacing w:after="0" w:line="144" w:lineRule="exact"/>
        <w:rPr>
          <w:sz w:val="20"/>
          <w:szCs w:val="20"/>
          <w:color w:val="auto"/>
        </w:rPr>
      </w:pPr>
    </w:p>
    <w:p>
      <w:pPr>
        <w:ind w:left="1160" w:right="1219" w:firstLine="258"/>
        <w:spacing w:after="0" w:line="173" w:lineRule="exact"/>
        <w:rPr>
          <w:sz w:val="20"/>
          <w:szCs w:val="20"/>
          <w:color w:val="auto"/>
        </w:rPr>
      </w:pPr>
      <w:r>
        <w:rPr>
          <w:rFonts w:ascii="Times New Roman" w:cs="Times New Roman" w:eastAsia="Times New Roman" w:hAnsi="Times New Roman"/>
          <w:sz w:val="14"/>
          <w:szCs w:val="14"/>
          <w:color w:val="auto"/>
        </w:rPr>
        <w:t>We are party to certain Investor Rights Agreements with holders each of our Series A Preferred Stock, Series B Preferred Stock, Series C Preferred Stock, Series D Preferred Stock and Series E Preferred Stock. These Investor Rights Agreement provided customary stockholder rights that, prior to this offering, included information rights and preemptive rights; those rights will terminate automatically upon or immediately prior to the completion of this offering or when we become subject to Exchange Act reporting. These Investor Rights Agreements also provide certain of our stockholders—including certain of our directors and executive officers and beneficial owners of more than 5% of a class of our capital stock—with demand, piggyback and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 registration rights covering their shares, including shares of Class A common stock that will be issued upon the Preferred Stock Conversion. Prior to the completion of this offering, we intend to terminate these Investor Rights Agreements and enter into a new agreement that provides similar registration rights to these stockholders. For a description of these registration rights, see “Shares Eligible for Future Sale—Registration Rights.” See “Underwriting” for a description of these lock-up agreements.</w:t>
      </w:r>
    </w:p>
    <w:p>
      <w:pPr>
        <w:spacing w:after="0" w:line="1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Agreements</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this offering, we intend to enter into a Registration Rights Agreement with certain holders of our Class A common stock, including shares issued upon conversion of our Series A Preferred Stock, Series A-1 Preferred Stock, Series B Preferred Stock, Series C Preferred Stock, Series D-1 Preferred Stock, Series D-2 Preferred Stock, Series D-3 Preferred Stock, Series D-4 Preferred Stock, Series E-1 Preferred Stock, and Series E-2 Preferred Stock. This Registration Rights Agreement supersedes and replaces in its entirety the Amended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Restated Investors’ Rights Agreement, dated as of December 4, 2025, with respect to registration rights. The Registration Rights Agreement provides certain of our stockholders with demand, piggyback and Form S-3 registration rights covering their registrable shares. For a description of these registration rights, see “Shares Eligible for Future Sale—Registration Rights.” In connection with this offering, holders party to the Registration Rights Agreement have entered into lock-up agreements with the underwriters providing for certain restrictions on the sale or transfer of shares of our common stock and certain other securities for a period of 180 days following the date of the final prospectus. See “Underwriting” for a description of these lock-up agreements.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Technical Services Payment</w:t>
      </w:r>
    </w:p>
    <w:p>
      <w:pPr>
        <w:spacing w:after="0" w:line="144"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In 2024, the Company paid approximately $0.2 million for technical services provided by Devon Energy, a supplier and a major investor in the Company, and an observer to the Company’s board of directors.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and Officer Indemnification and Insurance</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Prior to the consummation of this offering, we intend to enter into separate indemnification agreements with each of our directors and executive officers. We have also purchased directors’ and officers’ liability insurance. See “Description of Capital Stock — Limitations on Liability and Indemnification of Officers and Directors.”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Policy Regarding Related Party Transactions</w:t>
      </w:r>
    </w:p>
    <w:p>
      <w:pPr>
        <w:spacing w:after="0" w:line="142"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Our board of directors recognizes the fact that transactions with related persons present a heightened risk of conflicts of interests, improper valuation or the perception thereof. Prior to the consummation of this offering, our board of directors will adopt a written policy on transactions with related persons that is in conformity with the requirements for issuers having publicly held common stock that is listed on the NASDAQ. Under the new policy:</w:t>
      </w:r>
    </w:p>
    <w:p>
      <w:pPr>
        <w:spacing w:after="0" w:line="97" w:lineRule="exact"/>
        <w:rPr>
          <w:sz w:val="20"/>
          <w:szCs w:val="20"/>
          <w:color w:val="auto"/>
        </w:rPr>
      </w:pPr>
    </w:p>
    <w:p>
      <w:pPr>
        <w:ind w:left="1660" w:right="1199" w:hanging="249"/>
        <w:spacing w:after="0" w:line="292" w:lineRule="auto"/>
        <w:tabs>
          <w:tab w:leader="none" w:pos="16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person transaction, and any material amendment or modification to a related person transaction, must be reviewed and approved or ratified by a committee of the board of directors composed solely of</w:t>
      </w:r>
    </w:p>
    <w:p>
      <w:pPr>
        <w:sectPr>
          <w:pgSz w:w="11900" w:h="16933" w:orient="portrait"/>
          <w:cols w:equalWidth="0" w:num="1">
            <w:col w:w="9019"/>
          </w:cols>
          <w:pgMar w:left="1440" w:top="705" w:right="1440" w:bottom="0" w:gutter="0" w:footer="0" w:header="0"/>
        </w:sectPr>
      </w:pPr>
    </w:p>
    <w:bookmarkStart w:id="122" w:name="page123"/>
    <w:bookmarkEnd w:id="122"/>
    <w:p>
      <w:pPr>
        <w:ind w:left="1660"/>
        <w:spacing w:after="0"/>
        <w:rPr>
          <w:sz w:val="20"/>
          <w:szCs w:val="20"/>
          <w:color w:val="auto"/>
        </w:rPr>
      </w:pPr>
      <w:r>
        <w:rPr>
          <w:rFonts w:ascii="Times New Roman" w:cs="Times New Roman" w:eastAsia="Times New Roman" w:hAnsi="Times New Roman"/>
          <w:sz w:val="14"/>
          <w:szCs w:val="14"/>
          <w:color w:val="auto"/>
        </w:rPr>
        <w:t>independent directors who are disinterested or by the disinterested members of the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6026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660" w:right="1359" w:hanging="249"/>
        <w:spacing w:after="0" w:line="274" w:lineRule="auto"/>
        <w:tabs>
          <w:tab w:leader="none" w:pos="16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employment relationship or transaction involving an executive officer and any related compensation must be approved by the compensation committee of the board of directors or recommended by the compensation committee to the board of directors for its approval.</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connection with the review and approval or ratification of a related person transaction:</w:t>
      </w:r>
    </w:p>
    <w:p>
      <w:pPr>
        <w:spacing w:after="0" w:line="140" w:lineRule="exact"/>
        <w:rPr>
          <w:sz w:val="20"/>
          <w:szCs w:val="20"/>
          <w:color w:val="auto"/>
        </w:rPr>
      </w:pPr>
    </w:p>
    <w:p>
      <w:pPr>
        <w:ind w:left="1660" w:right="1159" w:hanging="249"/>
        <w:spacing w:after="0" w:line="265" w:lineRule="auto"/>
        <w:tabs>
          <w:tab w:leader="none" w:pos="16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99" w:lineRule="exact"/>
        <w:rPr>
          <w:rFonts w:ascii="Times New Roman" w:cs="Times New Roman" w:eastAsia="Times New Roman" w:hAnsi="Times New Roman"/>
          <w:sz w:val="14"/>
          <w:szCs w:val="14"/>
          <w:color w:val="auto"/>
        </w:rPr>
      </w:pPr>
    </w:p>
    <w:p>
      <w:pPr>
        <w:ind w:left="1660" w:right="1319" w:hanging="249"/>
        <w:spacing w:after="0" w:line="274" w:lineRule="auto"/>
        <w:tabs>
          <w:tab w:leader="none" w:pos="16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92" w:lineRule="exact"/>
        <w:rPr>
          <w:rFonts w:ascii="Times New Roman" w:cs="Times New Roman" w:eastAsia="Times New Roman" w:hAnsi="Times New Roman"/>
          <w:sz w:val="14"/>
          <w:szCs w:val="14"/>
          <w:color w:val="auto"/>
        </w:rPr>
      </w:pPr>
    </w:p>
    <w:p>
      <w:pPr>
        <w:jc w:val="both"/>
        <w:ind w:left="1660" w:right="1259" w:hanging="249"/>
        <w:spacing w:after="0" w:line="265" w:lineRule="auto"/>
        <w:tabs>
          <w:tab w:leader="none" w:pos="16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must advise the committee or disinterested directors, as applicable, as to whether the related person transaction will be required to be disclosed in our applicable filings under the Securities Act or the Exchange Act, and related rules, and, to the extent required to be disclosed, management must ensure that the related person transaction is disclosed in accordance with the Securities Act and the Exchange Act and related rules; and</w:t>
      </w:r>
    </w:p>
    <w:p>
      <w:pPr>
        <w:spacing w:after="0" w:line="9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must advise the committee or disinterested directors, as applicable, as to whether the related person transaction constitutes a “personal loan” for purposes of Section 402 of the Sarbanes-Oxley Act.</w:t>
      </w:r>
    </w:p>
    <w:p>
      <w:pPr>
        <w:spacing w:after="0" w:line="8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In addition, the related person transaction policy provides that the committee or disinterested directors, as applicable, in connection with any approval or ratification of a related person transaction involving a non-employee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spacing w:after="0" w:line="274" w:lineRule="auto"/>
        <w:rPr>
          <w:sz w:val="20"/>
          <w:szCs w:val="20"/>
          <w:color w:val="auto"/>
        </w:rPr>
      </w:pPr>
      <w:r>
        <w:rPr>
          <w:rFonts w:ascii="Times New Roman" w:cs="Times New Roman" w:eastAsia="Times New Roman" w:hAnsi="Times New Roman"/>
          <w:sz w:val="14"/>
          <w:szCs w:val="14"/>
          <w:color w:val="auto"/>
        </w:rPr>
        <w:t>director should consider whether such transaction would compromise the director’s status as an “independent,” “outside,” or “non-employee” director, as applicable, under the rules and regulations of the SEC, the NASDAQ and the Code.</w:t>
      </w:r>
    </w:p>
    <w:p>
      <w:pPr>
        <w:sectPr>
          <w:pgSz w:w="11900" w:h="16838" w:orient="portrait"/>
          <w:cols w:equalWidth="0" w:num="1">
            <w:col w:w="9019"/>
          </w:cols>
          <w:pgMar w:left="1440" w:top="114" w:right="1440" w:bottom="1440" w:gutter="0" w:footer="0" w:header="0"/>
        </w:sectPr>
      </w:pPr>
    </w:p>
    <w:bookmarkStart w:id="123" w:name="page124"/>
    <w:bookmarkEnd w:id="123"/>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-78740</wp:posOffset>
            </wp:positionV>
            <wp:extent cx="716026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At or prior to the consummation of this offering, we will file our Amended Charter and we will adopt our</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Amended Bylaws. Our Amended Charter will authorize capital stock consisting of:</w:t>
      </w:r>
    </w:p>
    <w:p>
      <w:pPr>
        <w:spacing w:after="0" w:line="126" w:lineRule="exact"/>
        <w:rPr>
          <w:sz w:val="20"/>
          <w:szCs w:val="20"/>
          <w:color w:val="auto"/>
        </w:rPr>
      </w:pPr>
    </w:p>
    <w:p>
      <w:pPr>
        <w:ind w:left="1660" w:right="1259" w:hanging="249"/>
        <w:spacing w:after="0" w:line="274" w:lineRule="auto"/>
        <w:tabs>
          <w:tab w:leader="none" w:pos="16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1,040,000,000 shares of common stock, of which 1,000,000,000 shares will be designated as Class A common stock, $0.0001 par value per share, and 40,000,000 shares will be designated as Class B common stock, $0.0001 par value per share; and</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$0.0001 per share.</w:t>
      </w:r>
    </w:p>
    <w:p>
      <w:pPr>
        <w:spacing w:after="0" w:line="140" w:lineRule="exact"/>
        <w:rPr>
          <w:sz w:val="20"/>
          <w:szCs w:val="20"/>
          <w:color w:val="auto"/>
        </w:rPr>
      </w:pPr>
    </w:p>
    <w:p>
      <w:pPr>
        <w:ind w:left="1160" w:right="1239" w:firstLine="258"/>
        <w:spacing w:after="0" w:line="285" w:lineRule="auto"/>
        <w:rPr>
          <w:sz w:val="20"/>
          <w:szCs w:val="20"/>
          <w:color w:val="auto"/>
        </w:rPr>
      </w:pPr>
      <w:r>
        <w:rPr>
          <w:rFonts w:ascii="Times New Roman" w:cs="Times New Roman" w:eastAsia="Times New Roman" w:hAnsi="Times New Roman"/>
          <w:sz w:val="14"/>
          <w:szCs w:val="14"/>
          <w:color w:val="auto"/>
        </w:rPr>
        <w:t>We are selling 70,000,000 shares of our Class A common stock in this offering ( 80,500,000 shares if the underwriters exercise their over-allotment option to purchase additional shares of our Class A common stock in full).</w:t>
      </w:r>
    </w:p>
    <w:p>
      <w:pPr>
        <w:spacing w:after="0" w:line="262"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After giving effect to (i) the Stock Split, (ii) the Preferred Stock Conversion (iii) the filing and effectiveness of our Amended Charter and the adoption of our Amended Bylaws, (iv) the Founder Share Exchange and (v) the Reclassification, as of April 29, 2026, there were 275,776,919 shares of our Class A common stock outstanding,</w:t>
      </w:r>
    </w:p>
    <w:p>
      <w:pPr>
        <w:spacing w:after="0" w:line="2" w:lineRule="exact"/>
        <w:rPr>
          <w:sz w:val="20"/>
          <w:szCs w:val="20"/>
          <w:color w:val="auto"/>
        </w:rPr>
      </w:pPr>
    </w:p>
    <w:p>
      <w:pPr>
        <w:ind w:left="1160" w:right="1619"/>
        <w:spacing w:after="0" w:line="272" w:lineRule="auto"/>
        <w:rPr>
          <w:sz w:val="20"/>
          <w:szCs w:val="20"/>
          <w:color w:val="auto"/>
        </w:rPr>
      </w:pPr>
      <w:r>
        <w:rPr>
          <w:rFonts w:ascii="Times New Roman" w:cs="Times New Roman" w:eastAsia="Times New Roman" w:hAnsi="Times New Roman"/>
          <w:sz w:val="14"/>
          <w:szCs w:val="14"/>
          <w:color w:val="auto"/>
        </w:rPr>
        <w:t>held by 317 stockholders of record, 7,785,414 shares of our Class B common stock outstanding, held by 2 stockholders of record, and no shares of our preferred stock outstanding.</w:t>
      </w:r>
    </w:p>
    <w:p>
      <w:pPr>
        <w:spacing w:after="0" w:line="94"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The following summary describes the material provisions of our capital stock. We urge you to read our Amended Charter and our Amended Bylaws, which are included as exhibits to the registration statement of which this prospectus forms a part.</w:t>
      </w:r>
    </w:p>
    <w:p>
      <w:pPr>
        <w:spacing w:after="0" w:line="93" w:lineRule="exact"/>
        <w:rPr>
          <w:sz w:val="20"/>
          <w:szCs w:val="20"/>
          <w:color w:val="auto"/>
        </w:rPr>
      </w:pPr>
    </w:p>
    <w:p>
      <w:pPr>
        <w:jc w:val="both"/>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4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will have two series of authorized common stock: Class A common stock and Class B common stock. The rights of holders of shares of Class A common stock and Class B common stock are identical, except with respect to voting, conversion and transfer rights.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42"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Holders of shares of our Class A common stock will be entitled to one vote for each share held of record on all matters submitted to a vote of stockholders. Holders of our Class B common stock are entitled to 40 votes per share on any matter submitted to our stockholders. Holders of shares of Class A common stock and Class B common stock will vote together as a single class on all matters (including the election of directors) submitted to a vote of stockholders, unless otherwise required by Delaware law or our Amended Charter that becomes effective immediately prior to the completion of this offering.</w:t>
      </w:r>
    </w:p>
    <w:p>
      <w:pPr>
        <w:spacing w:after="0" w:line="10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Under Delaware law, holders of our Class A common stock or Class B common stock would be entitled to vote as a separate class if a proposed amendment to our Amended Charter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Charter. For example, if a proposed amendment of our Amended Charter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Charter.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Our Amended Charter, which will come into effect immediately prior to the closing of this offering, will not provide for cumulative voting for the election of directors.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See “Dividend Policy” for additional information.</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44"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the event of our dissolution or liquidation, after payment in full of all amounts required to be paid to creditors and to the holders of preferred stock having liquidation preferences, if any, the holders of shares of our Class A common stock will be entitled to share ratably in the remaining assets legally available for distribution.</w:t>
      </w:r>
    </w:p>
    <w:p>
      <w:pPr>
        <w:spacing w:after="0" w:line="93"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Holders of our Class A common stock and Class B common stock are not entitled to preemptive rights and are not subject to subscription, conversion, redemption or sinking fund provisions, except for the conversion provisions</w:t>
      </w:r>
    </w:p>
    <w:p>
      <w:pPr>
        <w:sectPr>
          <w:pgSz w:w="11900" w:h="16869" w:orient="portrait"/>
          <w:cols w:equalWidth="0" w:num="1">
            <w:col w:w="9019"/>
          </w:cols>
          <w:pgMar w:left="1440" w:top="104" w:right="1440" w:bottom="0" w:gutter="0" w:footer="0" w:header="0"/>
        </w:sectPr>
      </w:pPr>
    </w:p>
    <w:bookmarkStart w:id="124" w:name="page125"/>
    <w:bookmarkEnd w:id="124"/>
    <w:p>
      <w:pPr>
        <w:spacing w:after="0" w:line="68" w:lineRule="exact"/>
        <w:rPr>
          <w:sz w:val="20"/>
          <w:szCs w:val="20"/>
          <w:color w:val="auto"/>
        </w:rPr>
      </w:pPr>
    </w:p>
    <w:p>
      <w:pPr>
        <w:ind w:left="1160" w:right="1259"/>
        <w:spacing w:after="0" w:line="233" w:lineRule="auto"/>
        <w:rPr>
          <w:sz w:val="20"/>
          <w:szCs w:val="20"/>
          <w:color w:val="auto"/>
        </w:rPr>
      </w:pPr>
      <w:r>
        <w:rPr>
          <w:rFonts w:ascii="Times New Roman" w:cs="Times New Roman" w:eastAsia="Times New Roman" w:hAnsi="Times New Roman"/>
          <w:sz w:val="14"/>
          <w:szCs w:val="14"/>
          <w:color w:val="auto"/>
        </w:rPr>
        <w:t>with respect to the Class B common stock described below. There will be no redemption or sinking fund provisions applicable to our Class A common stock or Class B common stock. The rights, preferences and privileges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19"/>
        <w:spacing w:after="0" w:line="272" w:lineRule="auto"/>
        <w:rPr>
          <w:sz w:val="20"/>
          <w:szCs w:val="20"/>
          <w:color w:val="auto"/>
        </w:rPr>
      </w:pPr>
      <w:r>
        <w:rPr>
          <w:rFonts w:ascii="Times New Roman" w:cs="Times New Roman" w:eastAsia="Times New Roman" w:hAnsi="Times New Roman"/>
          <w:sz w:val="14"/>
          <w:szCs w:val="14"/>
          <w:color w:val="auto"/>
        </w:rPr>
        <w:t>holders of our Class A common stock and Class B common stock will be subject to and may be adversely affected by the rights of the holders of shares of any series of our preferred stock that we may designate in the future.</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4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Each outstanding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which occurs after the closing of this offering, except for certain permitted transfers described in our Amended Charter, including transfers to immediate family members (including upon Mr. Latimer’s or Dr. Norbeck’s death), trusts (including grantor retained annuity trusts) for which the stockholder or their immediate family member serves as trustee, and partnerships, corporations, and other entities exclusively owned by Mr. Latimer or Dr. Norbeck or either of their immediate families. All of the outstanding shares of Class B common stock will convert automatically into shares of Class A common stock upon the earliest to occur of (i) the first trading day following the seventh anniversary of this offering, (ii) the date on which the number of shares of Class A and Class B common stock beneficially owned by Mr. Latimer’s and Dr. Norbeck’s permitted transferees (including shares underlying outstanding options) represents less than 25% of the shares of Class A and Class B common stock beneficially owned by Mr. Latimer and Dr. Norbeck, in the aggregate, on the closing date of this offering, (iii) the death or disability of a Co-Founder, and (iv) the termination of a Co-Founder for cause. Once converted or transferred and converted into our Class A common stock, the Class B common stock will not be reissued.</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144"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All shares of our Class A common stock that will be outstanding upon the completion of this offering will be fully paid and non-assessable.</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April 29, 2026, we had warrants outstanding held by Centaurus Capital LP to purchase up to an aggregate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of 3,550,329 shares of our Series D-3 convertible preferred stock, or, if Series D-3 convertible preferred stock is not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our most senior class at the time of exercise, our most senior class of equity securities, at an exercise price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$5.2812 per share. The warrants have a four-year term measured from October 6, 2025 and will expire immediately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prior to the closing of a firm commitment underwritten initial public offering of our Class A common stock,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therefore are not expected to be outstanding following this offering. The warrants are exercisable in whole or in part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by cash payment and may be exercised on a cashless basis. The warrant contains customary anti-dilution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339"/>
        <w:spacing w:after="0" w:line="268" w:lineRule="auto"/>
        <w:rPr>
          <w:sz w:val="20"/>
          <w:szCs w:val="20"/>
          <w:color w:val="auto"/>
        </w:rPr>
      </w:pPr>
      <w:r>
        <w:rPr>
          <w:rFonts w:ascii="Times New Roman" w:cs="Times New Roman" w:eastAsia="Times New Roman" w:hAnsi="Times New Roman"/>
          <w:sz w:val="14"/>
          <w:szCs w:val="14"/>
          <w:color w:val="auto"/>
        </w:rPr>
        <w:t>structural adjustment provisions for reorganizations, recapitalizations, reclassifications, stock splits, combinations and similar corporate events. Transfers of the warrants are restricted and generally require our consent (subject to limited affiliate transfers and compliance with applicable securities laws), and the holder is subject to a customary market stand-off of up to 180 days in connection with our first underwritten public offering.</w:t>
      </w:r>
    </w:p>
    <w:p>
      <w:pPr>
        <w:spacing w:after="0" w:line="97"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On April 28, 2026, Centaurus Capital LP delivered to us a notice of exercise electing to exercise the warrant in full. Because the Series D-3 convertible preferred stock was no longer our most senior class of equity securities outstanding (based on liquidation preference) at the time of exercise, the warrant was exercised, in accordance with its terms, for 3,550,329 shares of a newly designated series of “Shadow Preferred Stock” under the warrant, designated as our Series E-2 convertible preferred stock. The Series E-2 convertible preferred stock has the same powers, designations, preferences, rights, qualifications, limitations and restrictions as our Series E-1 convertible preferred stock, except that (i) the per share liquidation preference and the initial conversion price for purposes of price-based anti-dilution protection equal the exercise price of $5.2812 per share, and (ii) any dividend rights are based on such exercise price rather than the original issue price of the Series E-1 convertible preferred stock.</w:t>
      </w:r>
    </w:p>
    <w:p>
      <w:pPr>
        <w:spacing w:after="0" w:line="106"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Centaurus paid the aggregate exercise price of $18,749,997.51 in cash by wire transfer of immediately available funds, and surrendered the original warrant upon exercise in full. As a result of this exercise, the warrant is no longer outstanding, and no further shares are issuable thereunder.</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42"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No shares of preferred stock will be issued or outstanding immediately after the offering contemplated by this prospectus. Our Amended Charter authorizes our board of directors to establish one or more series of preferred stock. Unless required by law or any stock exchange, the authorized shares of preferred stock will be available for issuance without further action by the holders of our common stock. Our board of directors is able to determine, without stockholder approval and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01" w:lineRule="exact"/>
        <w:rPr>
          <w:sz w:val="20"/>
          <w:szCs w:val="20"/>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39" w:lineRule="exact"/>
        <w:rPr>
          <w:rFonts w:ascii="Times New Roman" w:cs="Times New Roman" w:eastAsia="Times New Roman" w:hAnsi="Times New Roman"/>
          <w:sz w:val="14"/>
          <w:szCs w:val="14"/>
          <w:color w:val="auto"/>
        </w:rPr>
      </w:pPr>
    </w:p>
    <w:p>
      <w:pPr>
        <w:jc w:val="both"/>
        <w:ind w:left="1660" w:right="1279" w:hanging="249"/>
        <w:spacing w:after="0" w:line="274" w:lineRule="auto"/>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dividend rate of the series;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at which dividends, if any, will be payable;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repurchase rights and price or prices, if any, for shares of the series;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amounts of any sinking fund provided for the purchase or redemption of shares of the series;</w:t>
      </w:r>
    </w:p>
    <w:p>
      <w:pPr>
        <w:spacing w:after="0" w:line="139" w:lineRule="exact"/>
        <w:rPr>
          <w:rFonts w:ascii="Times New Roman" w:cs="Times New Roman" w:eastAsia="Times New Roman" w:hAnsi="Times New Roman"/>
          <w:sz w:val="14"/>
          <w:szCs w:val="14"/>
          <w:color w:val="auto"/>
        </w:rPr>
      </w:pPr>
    </w:p>
    <w:p>
      <w:pPr>
        <w:ind w:left="1660" w:right="1639" w:hanging="249"/>
        <w:spacing w:after="0" w:line="292" w:lineRule="auto"/>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voluntary or involuntary liquidation, dissolution, or winding-up of our affairs;</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68" w:lineRule="auto"/>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shares of the same series or of any other class or series; and</w:t>
      </w:r>
    </w:p>
    <w:p>
      <w:pPr>
        <w:sectPr>
          <w:pgSz w:w="11900" w:h="16907" w:orient="portrait"/>
          <w:cols w:equalWidth="0" w:num="1">
            <w:col w:w="9019"/>
          </w:cols>
          <w:pgMar w:left="1440" w:top="94" w:right="1440" w:bottom="0" w:gutter="0" w:footer="0" w:header="0"/>
        </w:sectPr>
      </w:pPr>
    </w:p>
    <w:bookmarkStart w:id="125" w:name="page126"/>
    <w:bookmarkEnd w:id="125"/>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hanging="249"/>
        <w:spacing w:after="0"/>
        <w:tabs>
          <w:tab w:leader="none" w:pos="16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holders of the series.</w:t>
      </w:r>
    </w:p>
    <w:p>
      <w:pPr>
        <w:spacing w:after="0" w:line="140"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We could issue a series of preferred stock that could, depending on the terms of the series, impede or discourage an acquisition attempt or other transaction that some, or a majority, of the holders of our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62" w:lineRule="auto"/>
        <w:rPr>
          <w:sz w:val="20"/>
          <w:szCs w:val="20"/>
          <w:color w:val="auto"/>
        </w:rPr>
      </w:pPr>
      <w:r>
        <w:rPr>
          <w:rFonts w:ascii="Times New Roman" w:cs="Times New Roman" w:eastAsia="Times New Roman" w:hAnsi="Times New Roman"/>
          <w:sz w:val="14"/>
          <w:szCs w:val="14"/>
          <w:color w:val="auto"/>
        </w:rPr>
        <w:t>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We have no current plan for the issuance of any shares of preferred stock.</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14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As of April 29, 2026, 45,047,677 shares (or 32,407,298 shares, after giving effect to the Stock Split) of our Class A common stock were issuable upon the exercise of outstanding stock options at a weighted-average exercise price of approximately $1.75 (or $2.43 per share, after giving effect to the Stock Split) under the 2019 Plan. For additional information regarding the terms of the 2019 Plan, see the section titled “Executive and Director Compensation—Equity Compensation.”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14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Our Amended Charter will provide that, unless we consent to the selection of an alternative forum, the Court of Chancery of the State of Delaware (the “Court of Chancery”) is the sole and exclusive forum for: (a) any derivative action, suit, or proceeding brought on our behalf; (b) any action, suit, or proceeding asserting a claim of breach of fiduciary duty owed by any of our current or former directors, officers or other employees or stockholder to us or to our stockholders, creditors or other constituents; (c) any action, suit, or proceeding asserting a claim arising pursuant to the Delaware General Corporation Law, our Amended Charter or Amended Bylaws, or as to which the Delaware General Corporation Law confers exclusive jurisdiction on the Court of Chancery; or (d) any action, suit, or proceeding asserting a claim governed by the internal affairs doctrine, unless the Court of Chancery does not have subject matter jurisdiction thereof, the federal district court of the District of Delaware or other state courts of the State of Delaware; provided that the exclusive forum provisions will not apply to suits brought to enforce any liability or duty created by the Exchange Act, or to any claim for which the federal courts have exclusive jurisdiction.</w:t>
      </w:r>
    </w:p>
    <w:p>
      <w:pPr>
        <w:spacing w:after="0" w:line="280"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Amended Charter will further provide that, unless we consent in writing to the selection of an alternative forum, to the fullest extent permitted by law, the federal district courts of the United States of America are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Nothing in our Amended and Restated Charter or Amended Bylaws preclude stockholders that assert claims under the Exchange Act from bringing such claims in state or federal court, subject to applicable law.</w:t>
      </w:r>
    </w:p>
    <w:p>
      <w:pPr>
        <w:spacing w:after="0" w:line="108"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Although we believe the provision benefits us by providing increased consistency in the application of Delaware law in the types of lawsuits to which it applies, the provision may limit a stockholder’s ability to bring a claim in a judicial forum that it finds favorable for disputes with us or any of our directors, officers, other employees or stockholders, which may have the effect of discouraging lawsuits with respect to such claims or make such lawsuits more costly for stockholders. However, our stockholders will not be deemed to have waived our compliance with federal securities laws and the rules and regulations thereunder.</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Amended Charter and Amended Bylaws</w:t>
      </w:r>
    </w:p>
    <w:p>
      <w:pPr>
        <w:spacing w:after="0" w:line="142"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Amended Charter and our Amended Bylaws also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an improvement of the terms of any such acquisition in favor of our stockholders. However, they also give our board of directors the power to discourage acquisitions that some stockholders may favor.</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4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Amended Charter will provide that our board of directors will be divided into three classes, with the number of directors in each class being as nearly equal in number as possible. The directors in each class will serve for a three-year term, one class being elected each year by our stockholders, with staggered terms. Our Amended Charter will provide that directors may only be removed from our board of directors for cause by the affirmative vote of two-thirds of the shares entitled to vote. See “Management—Composition of our Board of Directors.” These provisions may have the effect of deferring, delaying or discouraging hostile takeovers, or changes in control of us or our management.</w:t>
      </w:r>
    </w:p>
    <w:p>
      <w:pPr>
        <w:sectPr>
          <w:pgSz w:w="11900" w:h="16913" w:orient="portrait"/>
          <w:cols w:equalWidth="0" w:num="1">
            <w:col w:w="9019"/>
          </w:cols>
          <w:pgMar w:left="1440" w:top="275" w:right="1440" w:bottom="0" w:gutter="0" w:footer="0" w:header="0"/>
        </w:sectPr>
      </w:pPr>
    </w:p>
    <w:bookmarkStart w:id="126" w:name="page127"/>
    <w:bookmarkEnd w:id="126"/>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Special Meetings of Stockholders</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Amended Bylaws provide that only the Chief Executive Officer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14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In addition, our Amended Bylaws will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(b) if not specified in a notice of meeting, otherwise brought before the meeting by our board of directors or the chair of the meeting, or (c) otherwise properly brought before the meeting by a stockholder present in person who (1) was a stockholder both at the time of giving the notice and at the time of the meeting, (2) is entitled to vote at the meeting, and (3) has complied with the advance notice procedures specified in the Amended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our Amended Bylaws. To be timely, a stockholder’s notice must be delivered to, or mailed and received at, our principal executive offices not less than 90 days nor more than 120 days prior to the one-year anniversary of the preceding year’s annual meeting; provided, however, that if the date of the annual meeting is more than 30 days before or more than 60 days after such anniversary date, to be timely, notice by the stockholder must be so delivered, or mailed and received, not later than the 90th day prior to such annual meeting or, if later, the 10th day following the day on which public disclosure of the date of such annual meeting was first made (such notice within such time periods, “Timely Notice”).</w:t>
      </w:r>
    </w:p>
    <w:p>
      <w:pPr>
        <w:spacing w:after="0" w:line="105"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Stockholders at an annual meeting or special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Elimination of Stockholder Action by Written Consent</w:t>
      </w:r>
    </w:p>
    <w:p>
      <w:pPr>
        <w:spacing w:after="0" w:line="144" w:lineRule="exact"/>
        <w:rPr>
          <w:sz w:val="20"/>
          <w:szCs w:val="20"/>
          <w:color w:val="auto"/>
        </w:rPr>
      </w:pPr>
    </w:p>
    <w:p>
      <w:pPr>
        <w:jc w:val="both"/>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Our Amended Charter and Amended Bylaws will eliminate the right of stockholders to act by written consent without a meeting following the first date on which we cease to have shares of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Upon consummation of this offering, our Amended Bylaws may be amended or repealed by a vote of our board of directors or by the affirmative vote of two-thirds of the votes which all of our stockholders would be eligible to cast in an election of directors. The affirmative vote of a majority of our board of directors and two-thirds in voting power of the outstanding shares entitled to vote thereon would be required to amend our Amended Charter.</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44"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We will be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93" w:lineRule="exact"/>
        <w:rPr>
          <w:sz w:val="20"/>
          <w:szCs w:val="20"/>
          <w:color w:val="auto"/>
        </w:rPr>
      </w:pPr>
    </w:p>
    <w:p>
      <w:pPr>
        <w:ind w:left="1660" w:right="1639" w:hanging="249"/>
        <w:spacing w:after="0" w:line="274" w:lineRule="auto"/>
        <w:tabs>
          <w:tab w:leader="none" w:pos="16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92" w:lineRule="exact"/>
        <w:rPr>
          <w:rFonts w:ascii="Times New Roman" w:cs="Times New Roman" w:eastAsia="Times New Roman" w:hAnsi="Times New Roman"/>
          <w:sz w:val="14"/>
          <w:szCs w:val="14"/>
          <w:color w:val="auto"/>
        </w:rPr>
      </w:pPr>
    </w:p>
    <w:p>
      <w:pPr>
        <w:ind w:left="1660" w:right="1299" w:hanging="249"/>
        <w:spacing w:after="0" w:line="263" w:lineRule="auto"/>
        <w:tabs>
          <w:tab w:leader="none" w:pos="16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01" w:lineRule="exact"/>
        <w:rPr>
          <w:rFonts w:ascii="Times New Roman" w:cs="Times New Roman" w:eastAsia="Times New Roman" w:hAnsi="Times New Roman"/>
          <w:sz w:val="14"/>
          <w:szCs w:val="14"/>
          <w:color w:val="auto"/>
        </w:rPr>
      </w:pPr>
    </w:p>
    <w:p>
      <w:pPr>
        <w:ind w:left="1660" w:right="1259" w:hanging="249"/>
        <w:spacing w:after="0" w:line="268" w:lineRule="auto"/>
        <w:tabs>
          <w:tab w:leader="none" w:pos="16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66⅔% of the outstanding voting stock which is not owned by the interested stockholder.</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42"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to corporations and their stockholders for monetary damages for breaches of directors’ fiduciary duties, subject to certain exceptions. Our Amended Charter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w:t>
      </w:r>
    </w:p>
    <w:p>
      <w:pPr>
        <w:sectPr>
          <w:pgSz w:w="11900" w:h="16838" w:orient="portrait"/>
          <w:cols w:equalWidth="0" w:num="1">
            <w:col w:w="9019"/>
          </w:cols>
          <w:pgMar w:left="1440" w:top="239" w:right="1440" w:bottom="0" w:gutter="0" w:footer="0" w:header="0"/>
        </w:sectPr>
      </w:pPr>
    </w:p>
    <w:bookmarkStart w:id="127" w:name="page128"/>
    <w:bookmarkEnd w:id="127"/>
    <w:p>
      <w:pPr>
        <w:spacing w:after="0" w:line="30" w:lineRule="exact"/>
        <w:rPr>
          <w:sz w:val="20"/>
          <w:szCs w:val="20"/>
          <w:color w:val="auto"/>
        </w:rPr>
      </w:pPr>
    </w:p>
    <w:p>
      <w:pPr>
        <w:ind w:left="1160" w:right="1379"/>
        <w:spacing w:after="0" w:line="225" w:lineRule="auto"/>
        <w:rPr>
          <w:sz w:val="20"/>
          <w:szCs w:val="20"/>
          <w:color w:val="auto"/>
        </w:rPr>
      </w:pPr>
      <w:r>
        <w:rPr>
          <w:rFonts w:ascii="Times New Roman" w:cs="Times New Roman" w:eastAsia="Times New Roman" w:hAnsi="Times New Roman"/>
          <w:sz w:val="14"/>
          <w:szCs w:val="14"/>
          <w:color w:val="auto"/>
        </w:rPr>
        <w:t>monetary damages from a director for breach of fiduciary duty as a director, including breaches resulting from grossly negligent behavior. However, exculpation does not apply to any breaches of the director’s duty of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-161925</wp:posOffset>
            </wp:positionV>
            <wp:extent cx="716026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59"/>
        <w:spacing w:after="0" w:line="264" w:lineRule="auto"/>
        <w:rPr>
          <w:sz w:val="20"/>
          <w:szCs w:val="20"/>
          <w:color w:val="auto"/>
        </w:rPr>
      </w:pPr>
      <w:r>
        <w:rPr>
          <w:rFonts w:ascii="Times New Roman" w:cs="Times New Roman" w:eastAsia="Times New Roman" w:hAnsi="Times New Roman"/>
          <w:sz w:val="14"/>
          <w:szCs w:val="14"/>
          <w:color w:val="auto"/>
        </w:rPr>
        <w:t>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Our Amended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Amended Charter and Amended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01" w:lineRule="exact"/>
        <w:rPr>
          <w:sz w:val="20"/>
          <w:szCs w:val="20"/>
          <w:color w:val="auto"/>
        </w:rPr>
      </w:pPr>
    </w:p>
    <w:p>
      <w:pPr>
        <w:ind w:left="1160" w:right="1579" w:firstLine="258"/>
        <w:spacing w:after="0" w:line="292"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intend to enter into an indemnification agreement with each of our directors and executive officers as described in “Certain Relationships and Related Party Transactions — Director and Officer Indemnification and Insurance.”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Corporate Opportunities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Our Amended Charter provides that, to the fullest extent permitted by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(i) any director who is not an employee of Fervo Energy or any of its subsidiaries, or (ii) any holder of preferred stock or any partner, member, director, stockholder, employee or agent of any such holder, other than someone who is an employee of Fervo Energy or any of its subsidiaries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42"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Fervo Energy. Pursuant to the DGCL, stockholders who properly request and perfect appraisal rights in connection with such merger or consolidation will have the right to receive payment of the fair value of their shares as determined by the Court of Chancery in the State of Delaware.</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4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shares thereafter devolved by operation of law and such suit is brought in the Court of Chancery in the State of Delaware. See “— Exclusive Venue” above.</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have been approved to list our Class A common stock on the NASDAQ under the symbol “ FRVO.”</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42" w:lineRule="exact"/>
        <w:rPr>
          <w:sz w:val="20"/>
          <w:szCs w:val="20"/>
          <w:color w:val="auto"/>
        </w:rPr>
      </w:pPr>
    </w:p>
    <w:p>
      <w:pPr>
        <w:jc w:val="both"/>
        <w:ind w:left="1160" w:right="1439" w:firstLine="258"/>
        <w:spacing w:after="0" w:line="274"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and Class B common stock is Fidelity Stock Transfer Services, LLC. The transfer agent and registrar’s address is 245 Summer Street, Boston, Massachusetts 02210, and its telephone number is (617) 563-5800.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42"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Immediately prior to this offering, there was no public market for our Class A common stock. Future sales of substantial amounts of Class A common stock in the public market, or the perception that such sales may occur,</w:t>
      </w:r>
    </w:p>
    <w:p>
      <w:pPr>
        <w:sectPr>
          <w:pgSz w:w="11900" w:h="16869" w:orient="portrait"/>
          <w:cols w:equalWidth="0" w:num="1">
            <w:col w:w="9019"/>
          </w:cols>
          <w:pgMar w:left="1440" w:top="94" w:right="1440" w:bottom="0" w:gutter="0" w:footer="0" w:header="0"/>
        </w:sectPr>
      </w:pPr>
    </w:p>
    <w:bookmarkStart w:id="128" w:name="page129"/>
    <w:bookmarkEnd w:id="128"/>
    <w:p>
      <w:pPr>
        <w:spacing w:after="0" w:line="68" w:lineRule="exact"/>
        <w:rPr>
          <w:sz w:val="20"/>
          <w:szCs w:val="20"/>
          <w:color w:val="auto"/>
        </w:rPr>
      </w:pPr>
    </w:p>
    <w:p>
      <w:pPr>
        <w:ind w:left="1160" w:right="1299"/>
        <w:spacing w:after="0" w:line="233" w:lineRule="auto"/>
        <w:rPr>
          <w:sz w:val="20"/>
          <w:szCs w:val="20"/>
          <w:color w:val="auto"/>
        </w:rPr>
      </w:pPr>
      <w:r>
        <w:rPr>
          <w:rFonts w:ascii="Times New Roman" w:cs="Times New Roman" w:eastAsia="Times New Roman" w:hAnsi="Times New Roman"/>
          <w:sz w:val="14"/>
          <w:szCs w:val="14"/>
          <w:color w:val="auto"/>
        </w:rPr>
        <w:t>could adversely affect the market price of our Class A common stock. Although we have applied to have our Class A common stock listed on the NASDAQ, we cannot assure you that there will be an active public market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12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Upon the closing of this offering, we will have outstanding an aggregate of 275,776,919 shares of Class A common stock, including the issuance of 70,000,000 shares of Class A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01"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remaining 205,776,919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4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After the completion of this offering, holders of approximately 164,204,493 shares of our outstanding Class A common stock, or certain of their transferees, will be entitled to certain rights with respect to the registration of those shares under the Securities Act. If these shares are registered, in most cases they will be freely tradable without restriction under the Securities Act, subject to the Rule 144 limitations applicable to affiliates, and a large number of shares may be sold into the public market. See “Risk Factors — Risks Relating to Owning Our Common Stock — The grant of registration rights to certain of our stockholders, and the future exercise of such rights may adversely affect the market price of our Class A common stock.” for additional information.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w:t>
      </w:r>
    </w:p>
    <w:p>
      <w:pPr>
        <w:spacing w:after="0" w:line="144"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Subject to any lock-up agreement executed with the underwriters in connection with this offering, the holders of a majority of the registrable shares of Class A common stock then outstanding (or a lesser percentage if the anticipated aggregate offering price, net of selling expenses, would exceed $50,000,000) can request that we register the offer and sale of their shares on a Form S-1 or similar long-form registration statement. We are obligated to effect only two such long-form registrations.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144"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Following this offering, if we propose to register any of our securities under the Securities Act in connection with a public offering solely for cash (other than certain excluded registrations), the holders of registrable shares of Class A common stock will be entitled to certain "piggyback" registration rights allowing such holders to include their registrable shares of Class A common stock in such registration, subject to certain marketing and other limitations. As a result of these limitations, in the event the managing underwriters advise us that the number of securities requested to be included in such offering exceeds the number that can be sold without adversely affecting the marketability, proposed offering price, timing, or method of distribution of the offering, the securities to be included in such offering will be allocated in the following order of priority: (i) first, the securities we propose to sell; (ii) second, the registrable securities requested to be included by the holders, allocated pro rata among such holders based on their respective holdings; and (iii) third, other securities requested to be included in such registration.</w:t>
      </w:r>
    </w:p>
    <w:p>
      <w:pPr>
        <w:spacing w:after="0" w:line="275"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Notwithstanding the foregoing priority and cutback provisions, in no event will the number of registrable securities included in the offering be reduced below 20% of the total number of securities included in such offering. For the avoidance of doubt, this 20% floor means that the holders of registrable securities are entitled to a minimum allocation equal to at least 20% of the total offering size (inclusive of securities offered by us, the holders, and 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599"/>
        <w:spacing w:after="0" w:line="274" w:lineRule="auto"/>
        <w:rPr>
          <w:sz w:val="20"/>
          <w:szCs w:val="20"/>
          <w:color w:val="auto"/>
        </w:rPr>
      </w:pPr>
      <w:r>
        <w:rPr>
          <w:rFonts w:ascii="Times New Roman" w:cs="Times New Roman" w:eastAsia="Times New Roman" w:hAnsi="Times New Roman"/>
          <w:sz w:val="14"/>
          <w:szCs w:val="14"/>
          <w:color w:val="auto"/>
        </w:rPr>
        <w:t>other selling stockholders), regardless of any cutback recommendation by the underwriters. This 20% floor is measured against the aggregate number of securities included in the offering, and not against the number of registrable securities originally requested for inclusion by the holders.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S-3 Registration Rights</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If we are eligible to file a registration statement on Form S-3, holders of at least 20% of the registrable shares of Class A common stock then outstanding may make a written request that we register the offer and sale of their shares of Class A common stock on a registration statement on Form S-3, so long as the request covers securities for which the anticipated aggregate offering price is at least $10,000,000, net of selling expenses. These stockholders may make an unlimited number of requests for registration on Form S-3; however, we will not be required to effect a registration on Form S-3 if we have effected two such registrations within the 12-month period preceding the date of the request, or after we have effected six short-form registrations in the aggregate. See “Certain Relationships and Related Party Transactions — Registration Rights Agreement” for more information.</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this offering, we, our officers, our directors and certain other holders that represent approximately 99% of our outstanding Class A common stock and securities directly or indirectly convertible into or exchangeable or exercisable for our Class A common stock will agree to lock-up periods as specified herein.</w:t>
      </w:r>
    </w:p>
    <w:p>
      <w:pPr>
        <w:spacing w:after="0" w:line="93"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We, our officers and our directors will agree that, without the prior written consent of J.P. Morgan Securities LLC and BofA Securities, Inc., as representatives of the underwriters, we and they will not, subject to certain exceptions, during the period ending 180 days after the date of this prospectus:</w:t>
      </w:r>
    </w:p>
    <w:p>
      <w:pPr>
        <w:spacing w:after="0" w:line="93" w:lineRule="exact"/>
        <w:rPr>
          <w:sz w:val="20"/>
          <w:szCs w:val="20"/>
          <w:color w:val="auto"/>
        </w:rPr>
      </w:pPr>
    </w:p>
    <w:p>
      <w:pPr>
        <w:ind w:left="1660" w:right="1279" w:hanging="249"/>
        <w:spacing w:after="0" w:line="265" w:lineRule="auto"/>
        <w:tabs>
          <w:tab w:leader="none" w:pos="16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99" w:lineRule="exact"/>
        <w:rPr>
          <w:rFonts w:ascii="Times New Roman" w:cs="Times New Roman" w:eastAsia="Times New Roman" w:hAnsi="Times New Roman"/>
          <w:sz w:val="14"/>
          <w:szCs w:val="14"/>
          <w:color w:val="auto"/>
        </w:rPr>
      </w:pPr>
    </w:p>
    <w:p>
      <w:pPr>
        <w:ind w:left="1660" w:right="1279" w:hanging="249"/>
        <w:spacing w:after="0" w:line="274" w:lineRule="auto"/>
        <w:tabs>
          <w:tab w:leader="none" w:pos="16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whether any transaction described above is to be settled by delivery of our Class A common stock or such other</w:t>
      </w:r>
    </w:p>
    <w:p>
      <w:pPr>
        <w:sectPr>
          <w:pgSz w:w="11900" w:h="16906" w:orient="portrait"/>
          <w:cols w:equalWidth="0" w:num="1">
            <w:col w:w="9019"/>
          </w:cols>
          <w:pgMar w:left="1440" w:top="94" w:right="1440" w:bottom="0" w:gutter="0" w:footer="0" w:header="0"/>
        </w:sectPr>
      </w:pPr>
    </w:p>
    <w:bookmarkStart w:id="129" w:name="page130"/>
    <w:bookmarkEnd w:id="129"/>
    <w:p>
      <w:pPr>
        <w:ind w:left="1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securities, in cash or otherwise.</w:t>
      </w:r>
    </w:p>
    <w:p>
      <w:pPr>
        <w:spacing w:after="0" w:line="14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representatives of the underwriters have advised us that they have no present intent or arrangement to release any shares subject to a lock-up, and will consider the release of any lock-up on a case-by-case basis. Upon a request to release any shares subject to a lock-up, the representatives of the underwriters would consider the particular 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01"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Upon the expiration of the lock-up period, substantially all of the shares subject to such lock-up restrictions will become eligible for sale, subject to the limitations discussed above. For a further description of the lock-up agreements, see “Underwriting.”</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Affiliate Resales of Restricted Securities</w:t>
      </w:r>
    </w:p>
    <w:p>
      <w:pPr>
        <w:spacing w:after="0" w:line="144"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After giving effect to this offering, the Stock Split, the Reclassification, the Founder Share Exchange and the Preferred Stock Conversion, we expect that 205,776,919 shares of our outstanding Class A common stock will be “restricted” securities under the meaning of Rule 144 under the Securities Act and may not be sold in the absence of</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439"/>
        <w:spacing w:after="0" w:line="292" w:lineRule="auto"/>
        <w:rPr>
          <w:sz w:val="20"/>
          <w:szCs w:val="20"/>
          <w:color w:val="auto"/>
        </w:rPr>
      </w:pPr>
      <w:r>
        <w:rPr>
          <w:rFonts w:ascii="Times New Roman" w:cs="Times New Roman" w:eastAsia="Times New Roman" w:hAnsi="Times New Roman"/>
          <w:sz w:val="14"/>
          <w:szCs w:val="14"/>
          <w:color w:val="auto"/>
        </w:rPr>
        <w:t>registration under the Securities Act unless an exemption from registration is available, including the exemption provided by Rule 144.</w:t>
      </w:r>
    </w:p>
    <w:p>
      <w:pPr>
        <w:spacing w:after="0" w:line="81"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In general, under Rule 144 as currently in effect, beginning 90 days after the date of this prospectus, a person who is not deemed to have been an affiliate of ours at any time during the three months preceding a sale and who has beneficially owned shares considered to be restricted securities under Rule 144 for at least six months would be entitled to sell those shares, subject only to the availability of current public information about us. A non-affiliated person who has beneficially owned shares considered to be restricted securities under Rule 144 for at least one year would be entitled to sell those shares without regard to the provisions of Rule 144.</w:t>
      </w:r>
    </w:p>
    <w:p>
      <w:pPr>
        <w:spacing w:after="0" w:line="101" w:lineRule="exact"/>
        <w:rPr>
          <w:sz w:val="20"/>
          <w:szCs w:val="20"/>
          <w:color w:val="auto"/>
        </w:rPr>
      </w:pPr>
    </w:p>
    <w:p>
      <w:pPr>
        <w:jc w:val="both"/>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An affiliate of ours who has beneficially owned shares of our Class A common stock for at least six months would be entitled to sell, within any three-month period, a number of shares that does not exceed the greater of:</w:t>
      </w:r>
    </w:p>
    <w:p>
      <w:pPr>
        <w:spacing w:after="0" w:line="81" w:lineRule="exact"/>
        <w:rPr>
          <w:sz w:val="20"/>
          <w:szCs w:val="20"/>
          <w:color w:val="auto"/>
        </w:rPr>
      </w:pPr>
    </w:p>
    <w:p>
      <w:pPr>
        <w:ind w:left="1660" w:hanging="249"/>
        <w:spacing w:after="0"/>
        <w:tabs>
          <w:tab w:leader="none" w:pos="16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Class A common stock then outstanding; and</w:t>
      </w:r>
    </w:p>
    <w:p>
      <w:pPr>
        <w:spacing w:after="0" w:line="1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in our Class A common stock on the NASDAQ during the four calendar weeks preceding the filing of a notice on Form 144 with respect to such sale;</w:t>
      </w:r>
    </w:p>
    <w:p>
      <w:pPr>
        <w:spacing w:after="0" w:line="8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provided, in each case, that we are subject to the Exchange Act periodic reporting requirements for at least 90 days before the sale and have filed all required reports during that time period. Such sales by affiliates must also comply with the manner of sale, current public information and notice provisions of Rule 144. In addition, if the number of shares being sold under Rule 144 by an affiliate during any three-month period exceeds 5,000 shares or has an aggregate sale price in excess of $50,000, the seller must file a notice on Form 144 with the SEC and the NASDAQ concurrently with either the placing of a sale order with the broker or the execution directly with a market maker.</w:t>
      </w:r>
    </w:p>
    <w:p>
      <w:pPr>
        <w:spacing w:after="0" w:line="277"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An “affiliate” is a person that directly, or indirectly through one or more intermediaries, controls or is controlled by, or is under common control with an issuer.</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Non-Affiliate Resales of Restricted Securities</w:t>
      </w:r>
    </w:p>
    <w:p>
      <w:pPr>
        <w:spacing w:after="0" w:line="142"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Under Rule 144, a person who is not an affiliate of ours at the time of sale, and has not been an affiliate at any time during the 90 days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01" w:lineRule="exact"/>
        <w:rPr>
          <w:sz w:val="20"/>
          <w:szCs w:val="20"/>
          <w:color w:val="auto"/>
        </w:rPr>
      </w:pPr>
    </w:p>
    <w:p>
      <w:pPr>
        <w:ind w:left="1160" w:right="1579" w:firstLine="258"/>
        <w:spacing w:after="0" w:line="292" w:lineRule="auto"/>
        <w:rPr>
          <w:sz w:val="20"/>
          <w:szCs w:val="20"/>
          <w:color w:val="auto"/>
        </w:rPr>
      </w:pPr>
      <w:r>
        <w:rPr>
          <w:rFonts w:ascii="Times New Roman" w:cs="Times New Roman" w:eastAsia="Times New Roman" w:hAnsi="Times New Roman"/>
          <w:sz w:val="14"/>
          <w:szCs w:val="14"/>
          <w:color w:val="auto"/>
        </w:rPr>
        <w:t>Non-affiliate resales are not subject to the manner of sale, volume limitation or notice filing provisions of Rule 144.</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0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9019"/>
          </w:cols>
          <w:pgMar w:left="1440" w:top="1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6" w:right="1440" w:bottom="0" w:gutter="0" w:footer="0" w:header="0"/>
          <w:type w:val="continuous"/>
        </w:sectPr>
      </w:pPr>
    </w:p>
    <w:bookmarkStart w:id="130" w:name="page131"/>
    <w:bookmarkEnd w:id="130"/>
    <w:p>
      <w:pPr>
        <w:ind w:left="1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Registration Statement on Form S-8</w:t>
      </w:r>
    </w:p>
    <w:p>
      <w:pPr>
        <w:spacing w:after="0" w:line="142"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We intend to file a registration statement or statements on Form S-8 under the Securities Act covering shares of Class A common stock subject to issuance upon the exercise of outstanding stock options under the 2019 Plan and reserved for issuance under the 2026 Plan and the ESPP. These registration statements are expected to be filed as soon as practicable after the closing date of this offering.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 See “Executive and Director Compensation — Equity Incentive Award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FOR NON-U.S. HOLDERS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6"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280"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99" w:lineRule="exact"/>
        <w:rPr>
          <w:sz w:val="20"/>
          <w:szCs w:val="20"/>
          <w:color w:val="auto"/>
        </w:rPr>
      </w:pPr>
    </w:p>
    <w:p>
      <w:pPr>
        <w:ind w:left="1660" w:hanging="249"/>
        <w:spacing w:after="0"/>
        <w:tabs>
          <w:tab w:leader="none" w:pos="16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39"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 reduction strategy or as part of a conversion transaction or other integrated investment;</w:t>
      </w:r>
    </w:p>
    <w:p>
      <w:pPr>
        <w:sectPr>
          <w:pgSz w:w="11900" w:h="16838" w:orient="portrait"/>
          <w:cols w:equalWidth="0" w:num="1">
            <w:col w:w="9019"/>
          </w:cols>
          <w:pgMar w:left="1440" w:top="671" w:right="1440" w:bottom="0" w:gutter="0" w:footer="0" w:header="0"/>
        </w:sectPr>
      </w:pPr>
    </w:p>
    <w:bookmarkStart w:id="131" w:name="page132"/>
    <w:bookmarkEnd w:id="131"/>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4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39" w:lineRule="exact"/>
        <w:rPr>
          <w:rFonts w:ascii="Times New Roman" w:cs="Times New Roman" w:eastAsia="Times New Roman" w:hAnsi="Times New Roman"/>
          <w:sz w:val="14"/>
          <w:szCs w:val="14"/>
          <w:color w:val="auto"/>
        </w:rPr>
      </w:pPr>
    </w:p>
    <w:p>
      <w:pPr>
        <w:ind w:left="1660" w:right="1779" w:hanging="249"/>
        <w:spacing w:after="0" w:line="292" w:lineRule="auto"/>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139"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-2165350</wp:posOffset>
            </wp:positionV>
            <wp:extent cx="716026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our Class A common stock, the tax treatment of a partner in the partnership will generally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142"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3" w:lineRule="exact"/>
        <w:rPr>
          <w:sz w:val="20"/>
          <w:szCs w:val="20"/>
          <w:color w:val="auto"/>
        </w:rPr>
      </w:pPr>
    </w:p>
    <w:p>
      <w:pPr>
        <w:ind w:left="1660" w:hanging="249"/>
        <w:spacing w:after="0"/>
        <w:tabs>
          <w:tab w:leader="none" w:pos="16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3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74" w:lineRule="auto"/>
        <w:tabs>
          <w:tab w:leader="none" w:pos="16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103"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will generally be subject to U.S. federal withholding tax at a rate of 30% of the gross amount of the dividends (or such lower rate specified by an applicable income tax treaty, provided the Non-U.S. Holder furnishes to the applicable withholding agent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1"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w:t>
      </w:r>
    </w:p>
    <w:p>
      <w:pPr>
        <w:sectPr>
          <w:pgSz w:w="11900" w:h="16838" w:orient="portrait"/>
          <w:cols w:equalWidth="0" w:num="1">
            <w:col w:w="9019"/>
          </w:cols>
          <w:pgMar w:left="1440" w:top="94" w:right="1440" w:bottom="219" w:gutter="0" w:footer="0" w:header="0"/>
        </w:sectPr>
      </w:pPr>
    </w:p>
    <w:bookmarkStart w:id="132" w:name="page133"/>
    <w:bookmarkEnd w:id="13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for certain items. Non-U.S. Holders should consult their tax advisors regarding any applicable tax treaties that may provide for different rules.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Subject to the discussion below under “—Information Reporting and Backup Withholding”, a Non-U.S. Holder will generally not be subject to U.S. federal income or withholding tax on any gain realized upon the sale or other taxable disposition of our Class A common stock unless:</w:t>
      </w:r>
    </w:p>
    <w:p>
      <w:pPr>
        <w:spacing w:after="0" w:line="93" w:lineRule="exact"/>
        <w:rPr>
          <w:sz w:val="20"/>
          <w:szCs w:val="20"/>
          <w:color w:val="auto"/>
        </w:rPr>
      </w:pPr>
    </w:p>
    <w:p>
      <w:pPr>
        <w:ind w:left="1660" w:right="1519" w:hanging="249"/>
        <w:spacing w:after="0" w:line="274"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(a “USRPI”), by reason of our status as a U.S. real property holding corporation (a “USRPHC”), for U.S. federal income tax purposes.</w:t>
      </w:r>
    </w:p>
    <w:p>
      <w:pPr>
        <w:spacing w:after="0" w:line="8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9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9"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With respect to the third bullet point above,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Non-U.S. Holders generally are subject to a 15% withholding tax on the amount realized from a sale or other taxable disposition of a USRPI, such as our Class A common stock, which is required to be collected from any sale or disposition proceeds. Furthermore, such Non-U.S. Holders are subject to U.S. federal income tax (at the regular rates) in respect of any gain on their sale or other taxable disposition of the Class A common stock and are required to file a U.S. tax return to report such gain and pay any tax liability that is not satisfied by withholding. A Non-U.S. Holder may, by filing a U.S. federal income tax return, be able to claim a refund for any withholding tax deducted in excess of the tax liability on any gain. However, even if we are or were to become a USRPHC, if our Class A common stock is considered “regularly traded on an established securities market” (within the meaning of the Treasury Regulations), then Non-U.S. Holders will not be subject to the 15% withholding tax on the disposition of their Class A common stock, even if such Class A common stock constitutes USRPIs. Moreover, even if we are or were to become a USRPHC, if our Class A common stock is considered “regularly traded on an established securities market” (within the meaning of the Treasury Regulations) and the Non-U.S. Holder actually or constructively owns or owned, at all times during the shorter of the five-year period ending on the date of the sale or other taxable disposition or the Non-U.S. Holder’s holding period, 5% or less of our Class A common stock taking into account applicable constructive ownership rules, such Non-U.S. Holder may treat its ownership of our Class A common stock as not constituting a USRPI and will not be subject to U.S. federal income tax on any gain realized upon the sale or other taxable disposition of our Class A common stock (in addition to not being subject to the 15% withholding tax described above) or U.S. tax return filing requirements. We expect our Class A common stock to be treated as “regularly traded on an established securities market” so long as our Class A common stock is listed on the NASDAQ and regularly quoted by brokers or dealers making a market in such Class A common stock.</w:t>
      </w:r>
    </w:p>
    <w:p>
      <w:pPr>
        <w:spacing w:after="0" w:line="116"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Non-U.S. Holders should consult their tax advisors regarding tax consequences of our treatment as a USRPHC and regarding potentially applicable income tax treaties that may provide for different rules.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42"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06"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w:t>
      </w:r>
    </w:p>
    <w:p>
      <w:pPr>
        <w:sectPr>
          <w:pgSz w:w="11900" w:h="16906" w:orient="portrait"/>
          <w:cols w:equalWidth="0" w:num="1">
            <w:col w:w="9019"/>
          </w:cols>
          <w:pgMar w:left="1440" w:top="94" w:right="1440" w:bottom="0" w:gutter="0" w:footer="0" w:header="0"/>
        </w:sectPr>
      </w:pPr>
    </w:p>
    <w:bookmarkStart w:id="133" w:name="page134"/>
    <w:bookmarkEnd w:id="13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allowed as a refund or a credit against a Non-U.S. Holder’s U.S. federal income tax liability, provided the required information is timely furnished to the IRS.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4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to the applicable withholding agent a certification identifying each direct and indirect substantial United States owner, or (3) the foreign financial institution or non-financial foreign entity otherwise qualifies for an exemption from these rules and provides appropriate documentation (such as an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certain circumstances, a holder might be eligible for refunds or credits of such taxes.</w:t>
      </w:r>
    </w:p>
    <w:p>
      <w:pPr>
        <w:spacing w:after="0" w:line="280"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0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are offering the shares of Class A common stock described in this prospectus through a number of underwriters. J.P. Morgan Securities LLC and BofA Securities, Inc.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50"/>
        </w:trPr>
        <w:tc>
          <w:tcPr>
            <w:tcW w:w="5800" w:type="dxa"/>
            <w:vAlign w:val="bottom"/>
            <w:gridSpan w:val="2"/>
            <w:vMerge w:val="continue"/>
          </w:tcPr>
          <w:p>
            <w:pPr>
              <w:spacing w:after="0"/>
              <w:rPr>
                <w:sz w:val="13"/>
                <w:szCs w:val="13"/>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84"/>
        </w:trPr>
        <w:tc>
          <w:tcPr>
            <w:tcW w:w="5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J.P. Morgan Securities LLC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17,150,000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BofA Securities, Inc.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11,200,000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RBC Capital Markets, LLC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Barclays Capital Inc.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Robert W. Baird &amp; Co. Incorporated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BBVA Securities Inc.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Guggenheim Securities, LLC</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MUFG Securities Americas Inc.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SG Americas Securities, LLC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William Blair &amp; Company, L.L.C.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3,150,000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Piper Sandler &amp; Co.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0" w:type="dxa"/>
            <w:vAlign w:val="bottom"/>
          </w:tcPr>
          <w:p>
            <w:pPr>
              <w:spacing w:after="0"/>
              <w:rPr>
                <w:sz w:val="1"/>
                <w:szCs w:val="1"/>
                <w:color w:val="auto"/>
              </w:rPr>
            </w:pPr>
          </w:p>
        </w:tc>
      </w:tr>
      <w:tr>
        <w:trPr>
          <w:trHeight w:val="198"/>
        </w:trPr>
        <w:tc>
          <w:tcPr>
            <w:tcW w:w="5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Nomura Securities International, Inc.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831,250</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WR Securities, LLC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43,750</w:t>
            </w:r>
          </w:p>
        </w:tc>
        <w:tc>
          <w:tcPr>
            <w:tcW w:w="0" w:type="dxa"/>
            <w:vAlign w:val="bottom"/>
          </w:tcPr>
          <w:p>
            <w:pPr>
              <w:spacing w:after="0"/>
              <w:rPr>
                <w:sz w:val="1"/>
                <w:szCs w:val="1"/>
                <w:color w:val="auto"/>
              </w:rPr>
            </w:pPr>
          </w:p>
        </w:tc>
      </w:tr>
      <w:tr>
        <w:trPr>
          <w:trHeight w:val="163"/>
        </w:trPr>
        <w:tc>
          <w:tcPr>
            <w:tcW w:w="5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70,000,000</w:t>
            </w:r>
          </w:p>
        </w:tc>
        <w:tc>
          <w:tcPr>
            <w:tcW w:w="0" w:type="dxa"/>
            <w:vAlign w:val="bottom"/>
          </w:tcPr>
          <w:p>
            <w:pPr>
              <w:spacing w:after="0"/>
              <w:rPr>
                <w:sz w:val="1"/>
                <w:szCs w:val="1"/>
                <w:color w:val="auto"/>
              </w:rPr>
            </w:pPr>
          </w:p>
        </w:tc>
      </w:tr>
      <w:tr>
        <w:trPr>
          <w:trHeight w:val="20"/>
        </w:trPr>
        <w:tc>
          <w:tcPr>
            <w:tcW w:w="5760" w:type="dxa"/>
            <w:vAlign w:val="bottom"/>
            <w:vMerge w:val="restart"/>
          </w:tcPr>
          <w:p>
            <w:pPr>
              <w:jc w:val="right"/>
              <w:ind w:right="4629"/>
              <w:spacing w:after="0"/>
              <w:rPr>
                <w:sz w:val="20"/>
                <w:szCs w:val="20"/>
                <w:color w:val="auto"/>
              </w:rPr>
            </w:pPr>
            <w:r>
              <w:rPr>
                <w:rFonts w:ascii="Times New Roman" w:cs="Times New Roman" w:eastAsia="Times New Roman" w:hAnsi="Times New Roman"/>
                <w:sz w:val="14"/>
                <w:szCs w:val="14"/>
                <w:color w:val="auto"/>
                <w:w w:val="99"/>
              </w:rPr>
              <w:t>_______________</w:t>
            </w: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20" w:right="1259" w:hanging="257"/>
        <w:spacing w:after="0" w:line="269" w:lineRule="auto"/>
        <w:rPr>
          <w:sz w:val="20"/>
          <w:szCs w:val="20"/>
          <w:color w:val="auto"/>
        </w:rPr>
      </w:pPr>
      <w:r>
        <w:rPr>
          <w:rFonts w:ascii="Times New Roman" w:cs="Times New Roman" w:eastAsia="Times New Roman" w:hAnsi="Times New Roman"/>
          <w:sz w:val="11"/>
          <w:szCs w:val="11"/>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235" w:lineRule="exact"/>
        <w:rPr>
          <w:sz w:val="20"/>
          <w:szCs w:val="20"/>
          <w:color w:val="auto"/>
        </w:rPr>
      </w:pPr>
    </w:p>
    <w:p>
      <w:pPr>
        <w:ind w:left="1160" w:right="1579" w:firstLine="258"/>
        <w:spacing w:after="0" w:line="274" w:lineRule="auto"/>
        <w:rPr>
          <w:sz w:val="20"/>
          <w:szCs w:val="20"/>
          <w:color w:val="auto"/>
        </w:rPr>
      </w:pPr>
      <w:r>
        <w:rPr>
          <w:rFonts w:ascii="Times New Roman" w:cs="Times New Roman" w:eastAsia="Times New Roman" w:hAnsi="Times New Roman"/>
          <w:sz w:val="14"/>
          <w:szCs w:val="14"/>
          <w:color w:val="auto"/>
        </w:rPr>
        <w:t>The underwriters are committed to purchase all the shares of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93"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color w:val="auto"/>
        </w:rPr>
        <w:t>The underwriters propose to offer the shares of Class A common stock directly to the public at the initial public offering price set forth on the cover page of this prospectus and to certain dealers at that price less a concession not in excess of $0.972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27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underwriters have an option to buy up to 10,500,000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w:t>
      </w:r>
    </w:p>
    <w:p>
      <w:pPr>
        <w:sectPr>
          <w:pgSz w:w="11900" w:h="16874" w:orient="portrait"/>
          <w:cols w:equalWidth="0" w:num="1">
            <w:col w:w="9019"/>
          </w:cols>
          <w:pgMar w:left="1440" w:top="146" w:right="1440" w:bottom="0" w:gutter="0" w:footer="0" w:header="0"/>
        </w:sectPr>
      </w:pPr>
    </w:p>
    <w:bookmarkStart w:id="134" w:name="page135"/>
    <w:bookmarkEnd w:id="134"/>
    <w:p>
      <w:pPr>
        <w:ind w:left="1160" w:right="1319"/>
        <w:spacing w:after="0" w:line="249" w:lineRule="auto"/>
        <w:rPr>
          <w:sz w:val="20"/>
          <w:szCs w:val="20"/>
          <w:color w:val="auto"/>
        </w:rPr>
      </w:pPr>
      <w:r>
        <w:rPr>
          <w:rFonts w:ascii="Times New Roman" w:cs="Times New Roman" w:eastAsia="Times New Roman" w:hAnsi="Times New Roman"/>
          <w:sz w:val="14"/>
          <w:szCs w:val="14"/>
          <w:color w:val="auto"/>
        </w:rPr>
        <w:t>approximately the same proportion as shown in the table above. If any additional shares of Class A common stock are purchased, the underwriters will offer the additional shares on the same terms as those on which the shares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being offered.</w:t>
      </w:r>
    </w:p>
    <w:p>
      <w:pPr>
        <w:spacing w:after="0" w:line="126"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Cornerstone Investors have, severally and not jointly, indicated an interest in purchasing up to an aggregate of $350 million in shares of our Class A common stock in this offering at the initial public offering price and on the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62" w:lineRule="auto"/>
        <w:rPr>
          <w:sz w:val="20"/>
          <w:szCs w:val="20"/>
          <w:color w:val="auto"/>
        </w:rPr>
      </w:pPr>
      <w:r>
        <w:rPr>
          <w:rFonts w:ascii="Times New Roman" w:cs="Times New Roman" w:eastAsia="Times New Roman" w:hAnsi="Times New Roman"/>
          <w:sz w:val="14"/>
          <w:szCs w:val="14"/>
          <w:color w:val="auto"/>
        </w:rPr>
        <w:t>same terms and conditions as the other purchasers in this offering. The shares of Class A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of our Class A common stock purchased by the Cornerstone Investors as they will from the other shares sold to the public in this offering.</w:t>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underwriting fee is equal to the public offering price per share of Class A common stock less the amount</w:t>
      </w:r>
    </w:p>
    <w:p>
      <w:pPr>
        <w:spacing w:after="0" w:line="25" w:lineRule="exact"/>
        <w:rPr>
          <w:sz w:val="20"/>
          <w:szCs w:val="20"/>
          <w:color w:val="auto"/>
        </w:rPr>
      </w:pPr>
    </w:p>
    <w:p>
      <w:pPr>
        <w:jc w:val="both"/>
        <w:ind w:left="1160" w:right="1199"/>
        <w:spacing w:after="0" w:line="264" w:lineRule="auto"/>
        <w:rPr>
          <w:sz w:val="20"/>
          <w:szCs w:val="20"/>
          <w:color w:val="auto"/>
        </w:rPr>
      </w:pPr>
      <w:r>
        <w:rPr>
          <w:rFonts w:ascii="Times New Roman" w:cs="Times New Roman" w:eastAsia="Times New Roman" w:hAnsi="Times New Roman"/>
          <w:sz w:val="14"/>
          <w:szCs w:val="14"/>
          <w:color w:val="auto"/>
        </w:rPr>
        <w:t>paid by the underwriters to us per share of Class A common stock. The underwriting fee is $1.62 per share. The following table shows the per share and total underwriting discounts and commissions to be paid to the underwriters assuming both no exercise and full exercise of the underwriters’ option to purchase additional shares.</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Without</w:t>
            </w:r>
          </w:p>
        </w:tc>
        <w:tc>
          <w:tcPr>
            <w:tcW w:w="120" w:type="dxa"/>
            <w:vAlign w:val="bottom"/>
          </w:tcPr>
          <w:p>
            <w:pPr>
              <w:spacing w:after="0"/>
              <w:rPr>
                <w:sz w:val="11"/>
                <w:szCs w:val="11"/>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With full</w:t>
            </w:r>
          </w:p>
        </w:tc>
      </w:tr>
      <w:tr>
        <w:trPr>
          <w:trHeight w:val="118"/>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option to purchase</w:t>
            </w:r>
          </w:p>
        </w:tc>
        <w:tc>
          <w:tcPr>
            <w:tcW w:w="120" w:type="dxa"/>
            <w:vAlign w:val="bottom"/>
          </w:tcPr>
          <w:p>
            <w:pPr>
              <w:spacing w:after="0"/>
              <w:rPr>
                <w:sz w:val="10"/>
                <w:szCs w:val="10"/>
                <w:color w:val="auto"/>
              </w:rPr>
            </w:pPr>
          </w:p>
        </w:tc>
        <w:tc>
          <w:tcPr>
            <w:tcW w:w="104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option to purchase</w:t>
            </w:r>
          </w:p>
        </w:tc>
      </w:tr>
      <w:tr>
        <w:trPr>
          <w:trHeight w:val="116"/>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additional shares</w:t>
            </w:r>
          </w:p>
        </w:tc>
        <w:tc>
          <w:tcPr>
            <w:tcW w:w="120" w:type="dxa"/>
            <w:vAlign w:val="bottom"/>
          </w:tcPr>
          <w:p>
            <w:pPr>
              <w:spacing w:after="0"/>
              <w:rPr>
                <w:sz w:val="10"/>
                <w:szCs w:val="10"/>
                <w:color w:val="auto"/>
              </w:rPr>
            </w:pPr>
          </w:p>
        </w:tc>
        <w:tc>
          <w:tcPr>
            <w:tcW w:w="1040" w:type="dxa"/>
            <w:vAlign w:val="bottom"/>
          </w:tcPr>
          <w:p>
            <w:pPr>
              <w:jc w:val="center"/>
              <w:ind w:right="58"/>
              <w:spacing w:after="0" w:line="116" w:lineRule="exact"/>
              <w:rPr>
                <w:sz w:val="20"/>
                <w:szCs w:val="20"/>
                <w:color w:val="auto"/>
              </w:rPr>
            </w:pPr>
            <w:r>
              <w:rPr>
                <w:rFonts w:ascii="Times New Roman" w:cs="Times New Roman" w:eastAsia="Times New Roman" w:hAnsi="Times New Roman"/>
                <w:sz w:val="11"/>
                <w:szCs w:val="11"/>
                <w:b w:val="1"/>
                <w:bCs w:val="1"/>
                <w:color w:val="auto"/>
              </w:rPr>
              <w:t>additional shares</w:t>
            </w:r>
          </w:p>
        </w:tc>
      </w:tr>
      <w:tr>
        <w:trPr>
          <w:trHeight w:val="150"/>
        </w:trPr>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3"/>
                <w:szCs w:val="13"/>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exercise</w:t>
            </w:r>
          </w:p>
        </w:tc>
      </w:tr>
      <w:tr>
        <w:trPr>
          <w:trHeight w:val="184"/>
        </w:trPr>
        <w:tc>
          <w:tcPr>
            <w:tcW w:w="4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PerShare</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1.62</w:t>
            </w:r>
          </w:p>
        </w:tc>
      </w:tr>
      <w:tr>
        <w:trPr>
          <w:trHeight w:val="192"/>
        </w:trPr>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1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113,400,000</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18"/>
              <w:spacing w:after="0"/>
              <w:rPr>
                <w:sz w:val="20"/>
                <w:szCs w:val="20"/>
                <w:color w:val="auto"/>
              </w:rPr>
            </w:pPr>
            <w:r>
              <w:rPr>
                <w:rFonts w:ascii="Calibri" w:cs="Calibri" w:eastAsia="Calibri" w:hAnsi="Calibri"/>
                <w:sz w:val="14"/>
                <w:szCs w:val="14"/>
                <w:color w:val="auto"/>
              </w:rPr>
              <w:t>130,410,000</w:t>
            </w:r>
          </w:p>
        </w:tc>
      </w:tr>
    </w:tbl>
    <w:p>
      <w:pPr>
        <w:spacing w:after="0" w:line="169"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and listing fees, printing fees and legal and accounting expenses, but excluding the underwriting discounts and commissions, will be approximately $9,214,385.</w:t>
      </w:r>
    </w:p>
    <w:p>
      <w:pPr>
        <w:spacing w:after="0" w:line="93"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and BofA Securities, Inc. for a period of 180 days after the date of this prospectus, other than the shares of our Class A common stock to be sold in this offering.</w:t>
      </w:r>
    </w:p>
    <w:p>
      <w:pPr>
        <w:spacing w:after="0" w:line="10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The restrictions on our actions, as described above, do not apply to certain transactions, including (i) the issuance of shares of Class A common stock or securities convertible into or exercisable for shares of our Class A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Class A common stock or securities convertible into or exercisable or exchangeable for shares of our Class A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directors and executive officers, and our shareholders holding in the aggregate 97% of the outstanding shares of our Class A common stock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w:t>
      </w:r>
    </w:p>
    <w:p>
      <w:pPr>
        <w:sectPr>
          <w:pgSz w:w="11900" w:h="16838" w:orient="portrait"/>
          <w:cols w:equalWidth="0" w:num="1">
            <w:col w:w="9019"/>
          </w:cols>
          <w:pgMar w:left="1440" w:top="94" w:right="1440" w:bottom="0" w:gutter="0" w:footer="0" w:header="0"/>
        </w:sectPr>
      </w:pPr>
    </w:p>
    <w:bookmarkStart w:id="135" w:name="page136"/>
    <w:bookmarkEnd w:id="135"/>
    <w:p>
      <w:pPr>
        <w:spacing w:after="0" w:line="57" w:lineRule="exact"/>
        <w:rPr>
          <w:sz w:val="20"/>
          <w:szCs w:val="20"/>
          <w:color w:val="auto"/>
        </w:rPr>
      </w:pPr>
    </w:p>
    <w:p>
      <w:pPr>
        <w:ind w:left="1160" w:right="1219"/>
        <w:spacing w:after="0" w:line="193" w:lineRule="auto"/>
        <w:rPr>
          <w:sz w:val="20"/>
          <w:szCs w:val="20"/>
          <w:color w:val="auto"/>
        </w:rPr>
      </w:pPr>
      <w:r>
        <w:rPr>
          <w:rFonts w:ascii="Times New Roman" w:cs="Times New Roman" w:eastAsia="Times New Roman" w:hAnsi="Times New Roman"/>
          <w:sz w:val="14"/>
          <w:szCs w:val="14"/>
          <w:color w:val="auto"/>
        </w:rPr>
        <w:t>warrant (collectively with the Class A common stock, the “lock-up securities”)), (2) enter into any hedging, swap or other agreement or transaction that transfers, in whole or in part, any of the economic consequences of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-134620</wp:posOffset>
            </wp:positionV>
            <wp:extent cx="716026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19"/>
        <w:spacing w:after="0" w:line="257" w:lineRule="auto"/>
        <w:rPr>
          <w:sz w:val="20"/>
          <w:szCs w:val="20"/>
          <w:color w:val="auto"/>
        </w:rPr>
      </w:pPr>
      <w:r>
        <w:rPr>
          <w:rFonts w:ascii="Times New Roman" w:cs="Times New Roman" w:eastAsia="Times New Roman" w:hAnsi="Times New Roman"/>
          <w:sz w:val="14"/>
          <w:szCs w:val="14"/>
          <w:color w:val="auto"/>
        </w:rPr>
        <w:t>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disposals of lock-up securities: (i) as a bona fide gift or gifts or charitable contributions, or for bona fide estate planning purposes, (ii) by will or intestacy or any other testamentary document, (iii) to any member of the undersigned’s immediate family or to any trust for the direct or indirect benefit of the lock-up party or any immediate family member, (iv) to a corporation, partnership, limited liability company, investment fund or other entity (A) of which the lock-up party or its immediate family members are the legal and beneficial owner of all of the outstanding equity securities or similar interests or (B) controlled by, or under common control or common investment management with, the lock-up party or its immediate family member, (v) to a nominee or custodian of a person or entity to whom a disposition or transfer would be permissible under clauses (i) through (iv), (vi) in the case of a corporation, partnership, limited liability company, trust or other business entity,</w:t>
      </w:r>
    </w:p>
    <w:p>
      <w:pPr>
        <w:ind w:left="1160" w:right="1159" w:hanging="7"/>
        <w:spacing w:after="0" w:line="257" w:lineRule="auto"/>
        <w:tabs>
          <w:tab w:leader="none" w:pos="1394"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limited partners, members or stockholders of the lock-up party; (vii) by operation of law, (viii) to us upon death or disability of the lock-up party, or, if the lock-up party is an employee, upon death, disability or termination of employment of such employee, (ix) as part of a sale or transfer of lock-up securities acquired in open market transactions after the completion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common stock or warrant received upon such conversion would be subject to restrictions similar to those in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319"/>
        <w:spacing w:after="0" w:line="274" w:lineRule="auto"/>
        <w:rPr>
          <w:sz w:val="20"/>
          <w:szCs w:val="20"/>
          <w:color w:val="auto"/>
        </w:rPr>
      </w:pPr>
      <w:r>
        <w:rPr>
          <w:rFonts w:ascii="Times New Roman" w:cs="Times New Roman" w:eastAsia="Times New Roman" w:hAnsi="Times New Roman"/>
          <w:sz w:val="14"/>
          <w:szCs w:val="14"/>
          <w:color w:val="auto"/>
        </w:rPr>
        <w:t>immediately preceding paragraph; and (d) the establishment by lock-up parties of trading plans under Rule 10b5-1 under the Exchange Act, provided that such plan does not provide for the transfer of lock-up securities during the restricted period.</w:t>
      </w:r>
    </w:p>
    <w:p>
      <w:pPr>
        <w:spacing w:after="0" w:line="93"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J.P. Morgan Securities LLC and BofA Securities, Inc., in their sole discretion, may release the securities subject to any of the lock-up agreements with the underwriters described above, in whole or in part at any time.</w:t>
      </w:r>
    </w:p>
    <w:p>
      <w:pPr>
        <w:spacing w:after="0" w:line="8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81" w:lineRule="exact"/>
        <w:rPr>
          <w:sz w:val="20"/>
          <w:szCs w:val="20"/>
          <w:color w:val="auto"/>
        </w:rPr>
      </w:pPr>
    </w:p>
    <w:p>
      <w:pPr>
        <w:ind w:left="1160" w:right="1759" w:firstLine="258"/>
        <w:spacing w:after="0" w:line="292"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w:t>
      </w:r>
    </w:p>
    <w:p>
      <w:pPr>
        <w:spacing w:after="0" w:line="81"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We will apply to have our Class A common stock approved for listing/quotation on the NASDAQ under the symbol “FRVO”.</w:t>
      </w:r>
    </w:p>
    <w:p>
      <w:pPr>
        <w:spacing w:after="0" w:line="81"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0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99"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w:t>
      </w:r>
    </w:p>
    <w:p>
      <w:pPr>
        <w:sectPr>
          <w:pgSz w:w="11900" w:h="16895" w:orient="portrait"/>
          <w:cols w:equalWidth="0" w:num="1">
            <w:col w:w="9019"/>
          </w:cols>
          <w:pgMar w:left="1440" w:top="94" w:right="1440" w:bottom="0" w:gutter="0" w:footer="0" w:header="0"/>
        </w:sectPr>
      </w:pPr>
    </w:p>
    <w:bookmarkStart w:id="136" w:name="page137"/>
    <w:bookmarkEnd w:id="136"/>
    <w:p>
      <w:pPr>
        <w:ind w:left="1160"/>
        <w:spacing w:after="0"/>
        <w:rPr>
          <w:sz w:val="20"/>
          <w:szCs w:val="20"/>
          <w:color w:val="auto"/>
        </w:rPr>
      </w:pPr>
      <w:r>
        <w:rPr>
          <w:rFonts w:ascii="Times New Roman" w:cs="Times New Roman" w:eastAsia="Times New Roman" w:hAnsi="Times New Roman"/>
          <w:sz w:val="14"/>
          <w:szCs w:val="14"/>
          <w:color w:val="auto"/>
        </w:rPr>
        <w:t>these transactions on the NASDAQ, in the over-the-counter market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9"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7" w:lineRule="exact"/>
        <w:rPr>
          <w:sz w:val="20"/>
          <w:szCs w:val="20"/>
          <w:color w:val="auto"/>
        </w:rPr>
      </w:pPr>
    </w:p>
    <w:p>
      <w:pPr>
        <w:ind w:left="1660" w:hanging="249"/>
        <w:spacing w:after="0"/>
        <w:tabs>
          <w:tab w:leader="none" w:pos="16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set forth in this prospectus and otherwise available to the representatives;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and the history and prospects for the industry in which we compete;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assessment of our management;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for future earnings;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hanging="249"/>
        <w:spacing w:after="0"/>
        <w:tabs>
          <w:tab w:leader="none" w:pos="16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condition of the securities markets at the time of this offering;</w:t>
      </w:r>
    </w:p>
    <w:p>
      <w:pPr>
        <w:spacing w:after="0" w:line="139" w:lineRule="exact"/>
        <w:rPr>
          <w:rFonts w:ascii="Times New Roman" w:cs="Times New Roman" w:eastAsia="Times New Roman" w:hAnsi="Times New Roman"/>
          <w:sz w:val="14"/>
          <w:szCs w:val="14"/>
          <w:color w:val="auto"/>
        </w:rPr>
      </w:pPr>
    </w:p>
    <w:p>
      <w:pPr>
        <w:ind w:left="1660" w:right="1619" w:hanging="249"/>
        <w:spacing w:after="0" w:line="292" w:lineRule="auto"/>
        <w:tabs>
          <w:tab w:leader="none" w:pos="16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recent market prices of, and demand for, publicly traded common stock of generally comparable companies;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deemed relevant by the underwriters and us.</w:t>
      </w:r>
    </w:p>
    <w:p>
      <w:pPr>
        <w:spacing w:after="0" w:line="140"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Neither we nor the underwriters can assure investors that an active trading market will develop for our Class A common stock, or that the shares of Cass A common stock will trade in the public market at or above the initial public offering price.</w:t>
      </w:r>
    </w:p>
    <w:p>
      <w:pPr>
        <w:spacing w:after="0" w:line="93"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6"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Certain of the underwriters and their affiliates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Reserved Share Program</w:t>
      </w:r>
    </w:p>
    <w:p>
      <w:pPr>
        <w:spacing w:after="0" w:line="14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At our request, an affiliate of BofA Securities, Inc., a participating underwriter, has reserved for sale, at the initial public offering price, up to 5% of the shares of Class A common stock to be issued by us and offered by this prospectus for sale to some of our directors, officers and employees and related persons. If these persons purchase reserved shares it will reduce the number of shares available for sale to the general public. Any reserved shares that are not so purchased will be offered by the underwriters to the general public on the same basis as the other shares offered by this prospectus.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4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44"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Class A common stock has been offered or will be offered pursuant to the offering to the public in that Relevant State prior</w:t>
      </w:r>
    </w:p>
    <w:p>
      <w:pPr>
        <w:sectPr>
          <w:pgSz w:w="11900" w:h="16838" w:orient="portrait"/>
          <w:cols w:equalWidth="0" w:num="1">
            <w:col w:w="9019"/>
          </w:cols>
          <w:pgMar w:left="1440" w:top="94" w:right="1440" w:bottom="0" w:gutter="0" w:footer="0" w:header="0"/>
        </w:sectPr>
      </w:pPr>
    </w:p>
    <w:bookmarkStart w:id="137" w:name="page138"/>
    <w:bookmarkEnd w:id="137"/>
    <w:p>
      <w:pPr>
        <w:ind w:left="1160" w:right="1239"/>
        <w:spacing w:after="0" w:line="209" w:lineRule="auto"/>
        <w:rPr>
          <w:sz w:val="20"/>
          <w:szCs w:val="20"/>
          <w:color w:val="auto"/>
        </w:rPr>
      </w:pPr>
      <w:r>
        <w:rPr>
          <w:rFonts w:ascii="Times New Roman" w:cs="Times New Roman" w:eastAsia="Times New Roman" w:hAnsi="Times New Roman"/>
          <w:sz w:val="14"/>
          <w:szCs w:val="14"/>
          <w:color w:val="auto"/>
        </w:rPr>
        <w:t>to the publication of a prospectus in relation to the Class A common stock which has been approved by the competent authority in that Relevant State or, where appropriate, approved in another Relevant State and notified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both"/>
        <w:ind w:left="1160" w:right="1159"/>
        <w:spacing w:after="0" w:line="264" w:lineRule="auto"/>
        <w:rPr>
          <w:sz w:val="20"/>
          <w:szCs w:val="20"/>
          <w:color w:val="auto"/>
        </w:rPr>
      </w:pPr>
      <w:r>
        <w:rPr>
          <w:rFonts w:ascii="Times New Roman" w:cs="Times New Roman" w:eastAsia="Times New Roman" w:hAnsi="Times New Roman"/>
          <w:sz w:val="14"/>
          <w:szCs w:val="14"/>
          <w:color w:val="auto"/>
        </w:rPr>
        <w:t>the competent authority in that Relevant State, all in accordance with the Prospectus Regulation, except that offers of Class A common stock may be made to the public in that Relevant State at any time under the following exemptions under the Prospectus Regulation:</w:t>
      </w:r>
    </w:p>
    <w:p>
      <w:pPr>
        <w:spacing w:after="0" w:line="99" w:lineRule="exact"/>
        <w:rPr>
          <w:sz w:val="20"/>
          <w:szCs w:val="20"/>
          <w:color w:val="auto"/>
        </w:rPr>
      </w:pPr>
    </w:p>
    <w:p>
      <w:pPr>
        <w:ind w:left="1660" w:hanging="249"/>
        <w:spacing w:after="0"/>
        <w:tabs>
          <w:tab w:leader="none" w:pos="16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39" w:lineRule="exact"/>
        <w:rPr>
          <w:rFonts w:ascii="Times New Roman" w:cs="Times New Roman" w:eastAsia="Times New Roman" w:hAnsi="Times New Roman"/>
          <w:sz w:val="14"/>
          <w:szCs w:val="14"/>
          <w:color w:val="auto"/>
        </w:rPr>
      </w:pPr>
    </w:p>
    <w:p>
      <w:pPr>
        <w:jc w:val="both"/>
        <w:ind w:left="1660" w:right="1319" w:hanging="249"/>
        <w:spacing w:after="0" w:line="292" w:lineRule="auto"/>
        <w:tabs>
          <w:tab w:leader="none" w:pos="16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40"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provided that no such offer of Class A common stock shall require us or any representative to publish a prospectus pursuant to Article 3 of the Prospectus Regulation or supplement a prospectus pursuant to Article 23 of the Prospectus Regulation, and each person who initially acquires any Class A common stock or to whom any offer is made will be deemed to have represented, acknowledged and agreed to and with each of the representatives and us that it is a “qualified investor” within the meaning of Article 2(e) of the Prospectus Regulation. In the case of any Class A common stock being offered to a financial intermediary as that term is used in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of any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280" w:lineRule="exact"/>
        <w:rPr>
          <w:sz w:val="20"/>
          <w:szCs w:val="20"/>
          <w:color w:val="auto"/>
        </w:rPr>
      </w:pPr>
    </w:p>
    <w:p>
      <w:pPr>
        <w:ind w:left="1160" w:right="1179" w:firstLine="258"/>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Class A common stock in any Relevant State means the communication in any form and by any means of sufficient information on the terms of the offer and any Class A common stock to be offered so as to enable an investor to decide to purchase or subscribe for any Class A common stock, and the expression “Prospectus Regulation” means Regulation (EU) 2017/1129.</w:t>
      </w:r>
    </w:p>
    <w:p>
      <w:pPr>
        <w:spacing w:after="0" w:line="2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No Class A common stock has been offered or will be offered pursuant to the offering to the public in the United Kingdom prior to the publication of a prospectus in relation to the Class A common stock which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the Class A common stock may be offered to the public in the United Kingdom at any time:</w:t>
      </w:r>
    </w:p>
    <w:p>
      <w:pPr>
        <w:spacing w:after="0" w:line="101" w:lineRule="exact"/>
        <w:rPr>
          <w:sz w:val="20"/>
          <w:szCs w:val="20"/>
          <w:color w:val="auto"/>
        </w:rPr>
      </w:pPr>
    </w:p>
    <w:p>
      <w:pPr>
        <w:ind w:left="1660" w:hanging="249"/>
        <w:spacing w:after="0"/>
        <w:tabs>
          <w:tab w:leader="none" w:pos="16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139" w:lineRule="exact"/>
        <w:rPr>
          <w:rFonts w:ascii="Times New Roman" w:cs="Times New Roman" w:eastAsia="Times New Roman" w:hAnsi="Times New Roman"/>
          <w:sz w:val="14"/>
          <w:szCs w:val="14"/>
          <w:color w:val="auto"/>
        </w:rPr>
      </w:pPr>
    </w:p>
    <w:p>
      <w:pPr>
        <w:ind w:left="1660" w:right="1219" w:hanging="249"/>
        <w:spacing w:after="0" w:line="285" w:lineRule="auto"/>
        <w:tabs>
          <w:tab w:leader="none" w:pos="16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62" w:lineRule="exact"/>
        <w:rPr>
          <w:rFonts w:ascii="Times New Roman" w:cs="Times New Roman" w:eastAsia="Times New Roman" w:hAnsi="Times New Roman"/>
          <w:sz w:val="14"/>
          <w:szCs w:val="14"/>
          <w:color w:val="auto"/>
        </w:rPr>
      </w:pPr>
    </w:p>
    <w:p>
      <w:pPr>
        <w:ind w:left="1660" w:right="1599" w:hanging="249"/>
        <w:spacing w:after="0" w:line="292" w:lineRule="auto"/>
        <w:tabs>
          <w:tab w:leader="none" w:pos="16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(“FSMA”).</w:t>
      </w:r>
    </w:p>
    <w:p>
      <w:pPr>
        <w:spacing w:after="0" w:line="81"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provided that no such offer of the Class A common stock shall require us or any representative to publish a prospectus pursuant to Section 85 of the FSMA or supplement a prospectus pursuant to Article 23 of the UK Prospectus Regulation. For the purposes of this provision, the expression an “offer to the public” in relation to the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99"/>
        <w:spacing w:after="0" w:line="265" w:lineRule="auto"/>
        <w:rPr>
          <w:sz w:val="20"/>
          <w:szCs w:val="20"/>
          <w:color w:val="auto"/>
        </w:rPr>
      </w:pPr>
      <w:r>
        <w:rPr>
          <w:rFonts w:ascii="Times New Roman" w:cs="Times New Roman" w:eastAsia="Times New Roman" w:hAnsi="Times New Roman"/>
          <w:sz w:val="14"/>
          <w:szCs w:val="14"/>
          <w:color w:val="auto"/>
        </w:rPr>
        <w:t>Class A common stock in the United Kingdom means the communication in any form and by any means of sufficient information on the terms of the offer and any Class A common stock to be offered so as to enable an investor to decide to purchase or subscribe for any Class A common stock and the expression “UK Prospectus Regulation” means Regulation (EU) 2017/1129 as it forms part of domestic law by virtue of the European Union (Withdrawal) Act 2018.</w:t>
      </w:r>
    </w:p>
    <w:p>
      <w:pPr>
        <w:spacing w:after="0" w:line="99"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w:t>
      </w:r>
    </w:p>
    <w:p>
      <w:pPr>
        <w:spacing w:after="0" w:line="1" w:lineRule="exact"/>
        <w:rPr>
          <w:sz w:val="20"/>
          <w:szCs w:val="20"/>
          <w:color w:val="auto"/>
        </w:rPr>
      </w:pPr>
    </w:p>
    <w:p>
      <w:pPr>
        <w:ind w:left="1160" w:right="1459" w:hanging="7"/>
        <w:spacing w:after="0" w:line="261" w:lineRule="auto"/>
        <w:tabs>
          <w:tab w:leader="none" w:pos="137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Class A common stock in the United Kingdom within the meaning of the FSMA.</w:t>
      </w:r>
    </w:p>
    <w:p>
      <w:pPr>
        <w:spacing w:after="0" w:line="102" w:lineRule="exact"/>
        <w:rPr>
          <w:sz w:val="20"/>
          <w:szCs w:val="20"/>
          <w:color w:val="auto"/>
        </w:rPr>
      </w:pPr>
    </w:p>
    <w:p>
      <w:pPr>
        <w:jc w:val="both"/>
        <w:ind w:left="1160" w:right="1619" w:firstLine="258"/>
        <w:spacing w:after="0" w:line="274" w:lineRule="auto"/>
        <w:rPr>
          <w:sz w:val="20"/>
          <w:szCs w:val="20"/>
          <w:color w:val="auto"/>
        </w:rPr>
      </w:pPr>
      <w:r>
        <w:rPr>
          <w:rFonts w:ascii="Times New Roman" w:cs="Times New Roman" w:eastAsia="Times New Roman" w:hAnsi="Times New Roman"/>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The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w:t>
      </w:r>
    </w:p>
    <w:p>
      <w:pPr>
        <w:spacing w:after="0" w:line="2" w:lineRule="exact"/>
        <w:rPr>
          <w:sz w:val="20"/>
          <w:szCs w:val="20"/>
          <w:color w:val="auto"/>
        </w:rPr>
      </w:pPr>
    </w:p>
    <w:p>
      <w:pPr>
        <w:ind w:left="1160" w:right="1499"/>
        <w:spacing w:after="0" w:line="264" w:lineRule="auto"/>
        <w:rPr>
          <w:sz w:val="20"/>
          <w:szCs w:val="20"/>
          <w:color w:val="auto"/>
        </w:rPr>
      </w:pPr>
      <w:r>
        <w:rPr>
          <w:rFonts w:ascii="Times New Roman" w:cs="Times New Roman" w:eastAsia="Times New Roman" w:hAnsi="Times New Roman"/>
          <w:sz w:val="14"/>
          <w:szCs w:val="14"/>
          <w:color w:val="auto"/>
        </w:rPr>
        <w:t>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99"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ectPr>
          <w:pgSz w:w="11900" w:h="16838" w:orient="portrait"/>
          <w:cols w:equalWidth="0" w:num="1">
            <w:col w:w="9019"/>
          </w:cols>
          <w:pgMar w:left="1440" w:top="94" w:right="1440" w:bottom="0" w:gutter="0" w:footer="0" w:header="0"/>
        </w:sectPr>
      </w:pPr>
    </w:p>
    <w:bookmarkStart w:id="138" w:name="page139"/>
    <w:bookmarkEnd w:id="138"/>
    <w:p>
      <w:pPr>
        <w:ind w:left="1160" w:right="1239" w:firstLine="258"/>
        <w:spacing w:after="0" w:line="217"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-154940</wp:posOffset>
            </wp:positionV>
            <wp:extent cx="716026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in connection with this offering.</w:t>
      </w:r>
    </w:p>
    <w:p>
      <w:pPr>
        <w:spacing w:after="0" w:line="1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Class A common stock has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Class A common stock which are or are intended to be disposed of only to persons outside Hong Kong or only to “professional investors” as defined in the SFO and any rules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4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no Class A common stock has been or will be offered or sold and no Class A common stock has been or will be made the subject of an invitation for subscription or purchase, and no prospectus or any other document or material in connection with the offer or sale, or invitation for subscription or purchase, of the Class A common stock,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0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Singapore SFA Product Classification — In connection with Section 309B of the SFA and the CMP Regulations 2018, unless otherwise specified before an offer of Class A common stock, we have determined, and hereby notify all relevant persons (as defined in Section 309A(1) of the SFA), that the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44" w:lineRule="exact"/>
        <w:rPr>
          <w:sz w:val="20"/>
          <w:szCs w:val="20"/>
          <w:color w:val="auto"/>
        </w:rPr>
      </w:pPr>
    </w:p>
    <w:p>
      <w:pPr>
        <w:ind w:left="1160" w:right="1319" w:firstLine="258"/>
        <w:spacing w:after="0" w:line="261" w:lineRule="auto"/>
        <w:rPr>
          <w:sz w:val="20"/>
          <w:szCs w:val="20"/>
          <w:color w:val="auto"/>
        </w:rPr>
      </w:pPr>
      <w:r>
        <w:rPr>
          <w:rFonts w:ascii="Times New Roman" w:cs="Times New Roman" w:eastAsia="Times New Roman" w:hAnsi="Times New Roman"/>
          <w:sz w:val="14"/>
          <w:szCs w:val="14"/>
          <w:color w:val="auto"/>
        </w:rPr>
        <w:t>The Class A common stock has not been and will not be registered pursuant to Article 4, Paragraph 1 of the Financial Instruments and Exchange Act. Accordingly, none of the Class A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44"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This prospectus does not constitute an offer to the public or a solicitation to purchase or invest in any Class A common stock. No Class A common stock has been offered or will be offered to the public in Switzerland, except that offers of Class A common stock may be made to the public in Switzerland at any time under the following exemptions under the Swiss Financial Services Act (“FinSA”):</w:t>
      </w:r>
    </w:p>
    <w:p>
      <w:pPr>
        <w:spacing w:after="0" w:line="97" w:lineRule="exact"/>
        <w:rPr>
          <w:sz w:val="20"/>
          <w:szCs w:val="20"/>
          <w:color w:val="auto"/>
        </w:rPr>
      </w:pPr>
    </w:p>
    <w:p>
      <w:pPr>
        <w:ind w:left="1660" w:hanging="249"/>
        <w:spacing w:after="0"/>
        <w:tabs>
          <w:tab w:leader="none" w:pos="16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w:t>
      </w:r>
    </w:p>
    <w:p>
      <w:pPr>
        <w:spacing w:after="0" w:line="139"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500 persons (other than professional clients as defined under the FinSA), subject to obtaining the prior consent of the representatives for any such offer; or</w:t>
      </w:r>
    </w:p>
    <w:p>
      <w:pPr>
        <w:spacing w:after="0" w:line="80" w:lineRule="exact"/>
        <w:rPr>
          <w:rFonts w:ascii="Times New Roman" w:cs="Times New Roman" w:eastAsia="Times New Roman" w:hAnsi="Times New Roman"/>
          <w:sz w:val="14"/>
          <w:szCs w:val="14"/>
          <w:color w:val="auto"/>
        </w:rPr>
      </w:pPr>
    </w:p>
    <w:p>
      <w:pPr>
        <w:ind w:left="1660" w:right="1539" w:hanging="249"/>
        <w:spacing w:after="0" w:line="292" w:lineRule="auto"/>
        <w:tabs>
          <w:tab w:leader="none" w:pos="16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81" w:lineRule="exact"/>
        <w:rPr>
          <w:sz w:val="20"/>
          <w:szCs w:val="20"/>
          <w:color w:val="auto"/>
        </w:rPr>
      </w:pPr>
    </w:p>
    <w:p>
      <w:pPr>
        <w:ind w:left="1160" w:right="1699" w:firstLine="258"/>
        <w:spacing w:after="0" w:line="292" w:lineRule="auto"/>
        <w:rPr>
          <w:sz w:val="20"/>
          <w:szCs w:val="20"/>
          <w:color w:val="auto"/>
        </w:rPr>
      </w:pPr>
      <w:r>
        <w:rPr>
          <w:rFonts w:ascii="Times New Roman" w:cs="Times New Roman" w:eastAsia="Times New Roman" w:hAnsi="Times New Roman"/>
          <w:sz w:val="14"/>
          <w:szCs w:val="14"/>
          <w:color w:val="auto"/>
        </w:rPr>
        <w:t>provided that no such offer of Class A common stock shall require us or any representative to publish a prospectus pursuant to Article 35 FinSA.</w:t>
      </w:r>
    </w:p>
    <w:p>
      <w:pPr>
        <w:spacing w:after="0" w:line="81" w:lineRule="exact"/>
        <w:rPr>
          <w:sz w:val="20"/>
          <w:szCs w:val="20"/>
          <w:color w:val="auto"/>
        </w:rPr>
      </w:pPr>
    </w:p>
    <w:p>
      <w:pPr>
        <w:ind w:left="1160" w:right="1519" w:firstLine="258"/>
        <w:spacing w:after="0" w:line="292" w:lineRule="auto"/>
        <w:rPr>
          <w:sz w:val="20"/>
          <w:szCs w:val="20"/>
          <w:color w:val="auto"/>
        </w:rPr>
      </w:pPr>
      <w:r>
        <w:rPr>
          <w:rFonts w:ascii="Times New Roman" w:cs="Times New Roman" w:eastAsia="Times New Roman" w:hAnsi="Times New Roman"/>
          <w:sz w:val="14"/>
          <w:szCs w:val="14"/>
          <w:color w:val="auto"/>
        </w:rPr>
        <w:t>The Class A common stock has not been and will not be listed or admitted to trading on a trading venue in Switzerland.</w:t>
      </w:r>
    </w:p>
    <w:p>
      <w:pPr>
        <w:spacing w:after="0" w:line="8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Class A common stock constitutes a prospectus as such term is understood pursuant to the FinSA, and neither this document nor any other offering or marketing material relating to the Class A common stock may be publicly distributed or otherwise made publicly available in Switzerland.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94" w:right="1440" w:bottom="0" w:gutter="0" w:footer="0" w:header="0"/>
          <w:type w:val="continuous"/>
        </w:sectPr>
      </w:pPr>
    </w:p>
    <w:bookmarkStart w:id="139" w:name="page140"/>
    <w:bookmarkEnd w:id="139"/>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Dubai International Financial Centre</w:t>
      </w:r>
    </w:p>
    <w:p>
      <w:pPr>
        <w:spacing w:after="0" w:line="14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Markets Law, DIFC Law No. 1 of 2012, as amended. This prospectus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nor taken steps to verify the information set forth herein and has no responsibility for this prospectus. The Class A common stock to which this prospectus relates may be illiquid and/or subject to restrictions on their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0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Class A common stock may not be offered or sold directly or indirectly to the public in the DIFC.</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40" w:lineRule="exact"/>
        <w:rPr>
          <w:sz w:val="20"/>
          <w:szCs w:val="20"/>
          <w:color w:val="auto"/>
        </w:rPr>
      </w:pPr>
    </w:p>
    <w:p>
      <w:pPr>
        <w:ind w:left="1660" w:right="1179" w:hanging="249"/>
        <w:spacing w:after="0" w:line="292" w:lineRule="auto"/>
        <w:tabs>
          <w:tab w:leader="none" w:pos="16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74" w:lineRule="auto"/>
        <w:tabs>
          <w:tab w:leader="none" w:pos="16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74" w:lineRule="auto"/>
        <w:tabs>
          <w:tab w:leader="none" w:pos="16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9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The Class A common stock may not be directly or indirectly offered for subscription or purchased or sold, and no invitations to subscribe for or buy the Class A common stock may be issued, and no draft or definitive offering memorandum, advertisement or other offering material relating to any Class A common stock may be distributed in Australia, except where disclosure to investors is not required under Chapter 6D of the Corporations Act or is otherwise in compliance with all applicable Australian laws and regulations. By submitting an application for the Class A common stock, you represent and warrant to us that you are an Exempt Investor.</w:t>
      </w:r>
    </w:p>
    <w:p>
      <w:pPr>
        <w:spacing w:after="0" w:line="101"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As any offer of Class A common stock under this document will be made without disclosure in Australia under Chapter 6D.2 of the Corporations Act, the offer of the Class A common stock for resale in Australia within 12 months may, under section 707 of the Corporations Act, require disclosure to investors under Chapter 6D.2 if none of the exemptions in section 708 applies to that resale. By applying for the Class A common stock, you undertake to us that you will not, for a period of 12 months from the date of issue of the Class A common stock, offer, transfer, assign or otherwise alienate those Class A common stock to investors in Australia except in circumstances where disclosure to investors is not required under Chapter 6D.2 of the Corporations Act or where a compliant disclosure document is prepared and lodged with ASIC.</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Bermuda</w:t>
      </w:r>
    </w:p>
    <w:p>
      <w:pPr>
        <w:spacing w:after="0" w:line="144" w:lineRule="exact"/>
        <w:rPr>
          <w:sz w:val="20"/>
          <w:szCs w:val="20"/>
          <w:color w:val="auto"/>
        </w:rPr>
      </w:pPr>
    </w:p>
    <w:p>
      <w:pPr>
        <w:jc w:val="both"/>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Class A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offer and sale of the Class A common stock has not been and will not be registered with the Brazilian Securities Commission (Comissão de Valores Mobiliários, or “CVM”) and, therefore, will not be carried out by any means that would constitute a public offering in Brazil under CVM Resolution No. 160, dated July 13, 2022, as amended, or unauthorized distribution under Brazilian laws and regulations. The Class A common stock will be authorized for trading on organized non-Brazilian securities markets and may only be offered to Brazilian Professional Investors (as defined by applicable CVM regulation), who may only acquire the Class A common stock through a non-Brazilian account, with settlement outside Brazil in non-Brazilian currency. The trading of the Class A common stock on regulated securities markets in Brazil is prohibited.</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4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shares of our Class A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or (ii) the offer is made, distributed or directed to certain qualified investors defined in the First Addendum of the Israeli Securities Law, subject to certain conditions. We have not and will not take any action that would require us to publish a prospectus in accordance with and subject to the Israeli Securities Law. We have not and will not distribute this prospectus or make, distribute or direct an offer to subscribe for our shares of Class A common stock to any person within the State of Israel.</w:t>
      </w:r>
    </w:p>
    <w:p>
      <w:pPr>
        <w:sectPr>
          <w:pgSz w:w="11900" w:h="16838" w:orient="portrait"/>
          <w:cols w:equalWidth="0" w:num="1">
            <w:col w:w="9019"/>
          </w:cols>
          <w:pgMar w:left="1440" w:top="636" w:right="1440" w:bottom="489"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42"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Latham &amp; Watkins LLP, Houston, Texas. Certain legal matters related to this offering will be passed upon for the underwriters by Vinson &amp; Elkins L.L.P., Houston, Texas.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financial statements of Fervo Energy Company as of December 31, 2025 and 2024 and for each of the two years in the period ended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97"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Estimates of our heat initially in place and technically recoverable geothermal resources of certain of our properties as of December 31, 2025 and June 30, 2024, included herein and elsewhere in this prospectus were based upon reports prepared by independent engineering firm, DeGolyer and MacNaughton, of Dallas, Texas. We have included these estimates in reliance on the authority of such firm as an expert in such matters.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75"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Upon the closing of this offering, we will be required to file periodic reports, proxy statements, and other information with the SEC pursuant to the Exchange Act. These reports, proxy statements, and other information will be available on the website of the SEC referred to above.</w:t>
      </w:r>
    </w:p>
    <w:p>
      <w:pPr>
        <w:spacing w:after="0" w:line="93" w:lineRule="exact"/>
        <w:rPr>
          <w:sz w:val="20"/>
          <w:szCs w:val="20"/>
          <w:color w:val="auto"/>
        </w:rPr>
      </w:pPr>
    </w:p>
    <w:p>
      <w:pPr>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We also maintain a website at www.fervoenergy.com, through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ectPr>
          <w:pgSz w:w="11900" w:h="16838" w:orient="portrait"/>
          <w:cols w:equalWidth="0" w:num="1">
            <w:col w:w="9019"/>
          </w:cols>
          <w:pgMar w:left="1440" w:top="1440"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3"/>
          <w:szCs w:val="23"/>
          <w:b w:val="1"/>
          <w:bCs w:val="1"/>
          <w:color w:val="auto"/>
        </w:rPr>
        <w:t>Fervo Energy Company and Subsidiaries</w:t>
      </w:r>
    </w:p>
    <w:p>
      <w:pPr>
        <w:spacing w:after="0" w:line="2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3"/>
          <w:szCs w:val="23"/>
          <w:color w:val="auto"/>
        </w:rPr>
        <w:t>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As of and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0"/>
        </w:trPr>
        <w:tc>
          <w:tcPr>
            <w:tcW w:w="33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27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color w:val="B4B4B4"/>
              </w:rPr>
              <w:t>.............................................................................</w:t>
            </w:r>
          </w:p>
        </w:tc>
        <w:tc>
          <w:tcPr>
            <w:tcW w:w="520" w:type="dxa"/>
            <w:vAlign w:val="bottom"/>
            <w:gridSpan w:val="3"/>
          </w:tcPr>
          <w:p>
            <w:pPr>
              <w:ind w:left="280"/>
              <w:spacing w:after="0" w:line="150" w:lineRule="exact"/>
              <w:rPr>
                <w:sz w:val="20"/>
                <w:szCs w:val="20"/>
                <w:color w:val="auto"/>
              </w:rPr>
            </w:pPr>
            <w:r>
              <w:rPr>
                <w:rFonts w:ascii="Times New Roman" w:cs="Times New Roman" w:eastAsia="Times New Roman" w:hAnsi="Times New Roman"/>
                <w:sz w:val="14"/>
                <w:szCs w:val="14"/>
                <w:color w:val="0000FF"/>
              </w:rPr>
              <w:t>F-2</w:t>
            </w:r>
          </w:p>
        </w:tc>
        <w:tc>
          <w:tcPr>
            <w:tcW w:w="0" w:type="dxa"/>
            <w:vAlign w:val="bottom"/>
          </w:tcPr>
          <w:p>
            <w:pPr>
              <w:spacing w:after="0"/>
              <w:rPr>
                <w:sz w:val="1"/>
                <w:szCs w:val="1"/>
                <w:color w:val="auto"/>
              </w:rPr>
            </w:pPr>
          </w:p>
        </w:tc>
      </w:tr>
      <w:tr>
        <w:trPr>
          <w:trHeight w:val="184"/>
        </w:trPr>
        <w:tc>
          <w:tcPr>
            <w:tcW w:w="33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Consolidated Financial Statements</w:t>
            </w:r>
          </w:p>
        </w:tc>
        <w:tc>
          <w:tcPr>
            <w:tcW w:w="27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 w:type="dxa"/>
            <w:vAlign w:val="bottom"/>
          </w:tcPr>
          <w:p>
            <w:pPr>
              <w:spacing w:after="0"/>
              <w:rPr>
                <w:sz w:val="16"/>
                <w:szCs w:val="16"/>
                <w:color w:val="auto"/>
              </w:rPr>
            </w:pPr>
          </w:p>
        </w:tc>
        <w:tc>
          <w:tcPr>
            <w:tcW w:w="596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color w:val="0000FF"/>
              </w:rPr>
              <w:t xml:space="preserve">Consolidated Balance Sheets </w:t>
            </w:r>
            <w:r>
              <w:rPr>
                <w:rFonts w:ascii="Times New Roman" w:cs="Times New Roman" w:eastAsia="Times New Roman" w:hAnsi="Times New Roman"/>
                <w:sz w:val="14"/>
                <w:szCs w:val="14"/>
                <w:color w:val="B4B4B4"/>
              </w:rPr>
              <w:t>.......................................................................................................................</w:t>
            </w:r>
          </w:p>
        </w:tc>
        <w:tc>
          <w:tcPr>
            <w:tcW w:w="5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0000FF"/>
              </w:rPr>
              <w:t>F-3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 w:type="dxa"/>
            <w:vAlign w:val="bottom"/>
          </w:tcPr>
          <w:p>
            <w:pPr>
              <w:spacing w:after="0"/>
              <w:rPr>
                <w:sz w:val="16"/>
                <w:szCs w:val="16"/>
                <w:color w:val="auto"/>
              </w:rPr>
            </w:pPr>
          </w:p>
        </w:tc>
        <w:tc>
          <w:tcPr>
            <w:tcW w:w="596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color w:val="0000FF"/>
              </w:rPr>
              <w:t xml:space="preserve">Consolidated Statements of Operations </w:t>
            </w:r>
            <w:r>
              <w:rPr>
                <w:rFonts w:ascii="Times New Roman" w:cs="Times New Roman" w:eastAsia="Times New Roman" w:hAnsi="Times New Roman"/>
                <w:sz w:val="14"/>
                <w:szCs w:val="14"/>
                <w:color w:val="B4B4B4"/>
              </w:rPr>
              <w:t>.......................................................................................................</w:t>
            </w:r>
          </w:p>
        </w:tc>
        <w:tc>
          <w:tcPr>
            <w:tcW w:w="5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0000FF"/>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5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Redeemable Preferred Stock, Redeemable Noncontrolling Interest and</w:t>
            </w:r>
          </w:p>
        </w:tc>
        <w:tc>
          <w:tcPr>
            <w:tcW w:w="280" w:type="dxa"/>
            <w:vAlign w:val="bottom"/>
          </w:tcPr>
          <w:p>
            <w:pPr>
              <w:spacing w:after="0"/>
              <w:rPr>
                <w:sz w:val="16"/>
                <w:szCs w:val="16"/>
                <w:color w:val="auto"/>
              </w:rPr>
            </w:pPr>
          </w:p>
        </w:tc>
        <w:tc>
          <w:tcPr>
            <w:tcW w:w="5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0000FF"/>
              </w:rPr>
              <w:t>F-7</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40" w:type="dxa"/>
            <w:vAlign w:val="bottom"/>
            <w:gridSpan w:val="9"/>
          </w:tcPr>
          <w:p>
            <w:pPr>
              <w:jc w:val="right"/>
              <w:ind w:right="20"/>
              <w:spacing w:after="0" w:line="120" w:lineRule="exact"/>
              <w:rPr>
                <w:sz w:val="20"/>
                <w:szCs w:val="20"/>
                <w:color w:val="auto"/>
              </w:rPr>
            </w:pPr>
            <w:r>
              <w:rPr>
                <w:rFonts w:ascii="Times New Roman" w:cs="Times New Roman" w:eastAsia="Times New Roman" w:hAnsi="Times New Roman"/>
                <w:sz w:val="13"/>
                <w:szCs w:val="13"/>
                <w:color w:val="0000FF"/>
              </w:rPr>
              <w:t xml:space="preserve">Stockholders’ Deficit </w:t>
            </w:r>
            <w:r>
              <w:rPr>
                <w:rFonts w:ascii="Times New Roman" w:cs="Times New Roman" w:eastAsia="Times New Roman" w:hAnsi="Times New Roman"/>
                <w:sz w:val="13"/>
                <w:szCs w:val="13"/>
                <w:color w:val="B4B4B4"/>
              </w:rPr>
              <w:t>................................................................................................................................</w:t>
            </w:r>
          </w:p>
        </w:tc>
        <w:tc>
          <w:tcPr>
            <w:tcW w:w="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 w:type="dxa"/>
            <w:vAlign w:val="bottom"/>
          </w:tcPr>
          <w:p>
            <w:pPr>
              <w:spacing w:after="0"/>
              <w:rPr>
                <w:sz w:val="16"/>
                <w:szCs w:val="16"/>
                <w:color w:val="auto"/>
              </w:rPr>
            </w:pPr>
          </w:p>
        </w:tc>
        <w:tc>
          <w:tcPr>
            <w:tcW w:w="596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color w:val="0000FF"/>
              </w:rPr>
              <w:t xml:space="preserve">Consolidated Statements of Cash Flows </w:t>
            </w:r>
            <w:r>
              <w:rPr>
                <w:rFonts w:ascii="Times New Roman" w:cs="Times New Roman" w:eastAsia="Times New Roman" w:hAnsi="Times New Roman"/>
                <w:sz w:val="14"/>
                <w:szCs w:val="14"/>
                <w:color w:val="B4B4B4"/>
              </w:rPr>
              <w:t>......................................................................................................</w:t>
            </w:r>
          </w:p>
        </w:tc>
        <w:tc>
          <w:tcPr>
            <w:tcW w:w="5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0000FF"/>
              </w:rPr>
              <w:t>F-8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 w:type="dxa"/>
            <w:vAlign w:val="bottom"/>
          </w:tcPr>
          <w:p>
            <w:pPr>
              <w:spacing w:after="0"/>
              <w:rPr>
                <w:sz w:val="16"/>
                <w:szCs w:val="16"/>
                <w:color w:val="auto"/>
              </w:rPr>
            </w:pPr>
          </w:p>
        </w:tc>
        <w:tc>
          <w:tcPr>
            <w:tcW w:w="596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color w:val="0000FF"/>
              </w:rPr>
              <w:t xml:space="preserve">Notes to Consolidated Financial Statements </w:t>
            </w:r>
            <w:r>
              <w:rPr>
                <w:rFonts w:ascii="Times New Roman" w:cs="Times New Roman" w:eastAsia="Times New Roman" w:hAnsi="Times New Roman"/>
                <w:sz w:val="14"/>
                <w:szCs w:val="14"/>
                <w:color w:val="B4B4B4"/>
              </w:rPr>
              <w:t>................................................................................................</w:t>
            </w:r>
          </w:p>
        </w:tc>
        <w:tc>
          <w:tcPr>
            <w:tcW w:w="5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0000FF"/>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94" w:right="1440" w:bottom="831"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right="2059" w:firstLine="640"/>
        <w:spacing w:after="0" w:line="448" w:lineRule="auto"/>
        <w:rPr>
          <w:sz w:val="20"/>
          <w:szCs w:val="20"/>
          <w:color w:val="auto"/>
        </w:rPr>
      </w:pPr>
      <w:r>
        <w:rPr>
          <w:rFonts w:ascii="Times New Roman" w:cs="Times New Roman" w:eastAsia="Times New Roman" w:hAnsi="Times New Roman"/>
          <w:sz w:val="14"/>
          <w:szCs w:val="14"/>
          <w:b w:val="1"/>
          <w:bCs w:val="1"/>
          <w:color w:val="auto"/>
        </w:rPr>
        <w:t xml:space="preserve">REPORT OF INDEPENDENT REGISTERED PUBLIC ACCOUNTING FIRM </w:t>
      </w:r>
      <w:r>
        <w:rPr>
          <w:rFonts w:ascii="Times New Roman" w:cs="Times New Roman" w:eastAsia="Times New Roman" w:hAnsi="Times New Roman"/>
          <w:sz w:val="14"/>
          <w:szCs w:val="14"/>
          <w:color w:val="auto"/>
        </w:rPr>
        <w:t>To the stockholders and the Board of Directors of Fervo Energy Company:</w:t>
      </w:r>
    </w:p>
    <w:p>
      <w:pPr>
        <w:ind w:left="142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Fervo Energy Company and subsidiaries (the “Company”) as of December 31, 2025 and 2024, the related consolidated statements of operations, redeemable preferred stock, redeemable noncontrolling interest and stockholders' deficit, and cash flows for each of the two years in the period ended December 31, 2025, and the related notes and the schedule listed in the Index at Item 16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Houston, Texas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March 30, 2026</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ectPr>
          <w:pgSz w:w="11900" w:h="16838" w:orient="portrait"/>
          <w:cols w:equalWidth="0" w:num="1">
            <w:col w:w="9019"/>
          </w:cols>
          <w:pgMar w:left="1440" w:top="1440" w:right="1440" w:bottom="921" w:gutter="0" w:footer="0" w:header="0"/>
        </w:sectPr>
      </w:pPr>
    </w:p>
    <w:bookmarkStart w:id="143" w:name="page144"/>
    <w:bookmarkEnd w:id="14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Fervo Energy Company and Subsidiaries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28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and shares in thousands)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461,836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193,428</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Grant receivables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Prepaid expenses and other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w:t>
            </w:r>
          </w:p>
        </w:tc>
        <w:tc>
          <w:tcPr>
            <w:tcW w:w="0" w:type="dxa"/>
            <w:vAlign w:val="bottom"/>
          </w:tcPr>
          <w:p>
            <w:pPr>
              <w:spacing w:after="0"/>
              <w:rPr>
                <w:sz w:val="1"/>
                <w:szCs w:val="1"/>
                <w:color w:val="auto"/>
              </w:rPr>
            </w:pPr>
          </w:p>
        </w:tc>
      </w:tr>
      <w:tr>
        <w:trPr>
          <w:trHeight w:val="180"/>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Totalcurrentassets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482,130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205,297</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Deposits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25,020</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Construction-in-process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789,571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258,900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leases right of use assets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long-term assets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10,410</w:t>
            </w:r>
          </w:p>
        </w:tc>
        <w:tc>
          <w:tcPr>
            <w:tcW w:w="0" w:type="dxa"/>
            <w:vAlign w:val="bottom"/>
          </w:tcPr>
          <w:p>
            <w:pPr>
              <w:spacing w:after="0"/>
              <w:rPr>
                <w:sz w:val="1"/>
                <w:szCs w:val="1"/>
                <w:color w:val="auto"/>
              </w:rPr>
            </w:pPr>
          </w:p>
        </w:tc>
      </w:tr>
      <w:tr>
        <w:trPr>
          <w:trHeight w:val="163"/>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Totalassets</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1,365,168</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531,299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35,036</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Accrued capital expenditures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current liabilities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151,911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66,825</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Long-term debt, net of issuance costs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172,837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40,851</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long-term liabilities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408,794</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146,994</w:t>
            </w:r>
          </w:p>
        </w:tc>
        <w:tc>
          <w:tcPr>
            <w:tcW w:w="0" w:type="dxa"/>
            <w:vAlign w:val="bottom"/>
          </w:tcPr>
          <w:p>
            <w:pPr>
              <w:spacing w:after="0"/>
              <w:rPr>
                <w:sz w:val="1"/>
                <w:szCs w:val="1"/>
                <w:color w:val="auto"/>
              </w:rPr>
            </w:pPr>
          </w:p>
        </w:tc>
      </w:tr>
      <w:tr>
        <w:trPr>
          <w:trHeight w:val="195"/>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Commitments and Contingencies (Note 21)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 stock, par value $0.0001 per share; 283,546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and 223,458 authorized; 279,995 and 223,458 issued and outstanding as of</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December 31, 2025 and 2024, respectively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1,022,942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561,500</w:t>
            </w:r>
          </w:p>
        </w:tc>
        <w:tc>
          <w:tcPr>
            <w:tcW w:w="0" w:type="dxa"/>
            <w:vAlign w:val="bottom"/>
          </w:tcPr>
          <w:p>
            <w:pPr>
              <w:spacing w:after="0"/>
              <w:rPr>
                <w:sz w:val="1"/>
                <w:szCs w:val="1"/>
                <w:color w:val="auto"/>
              </w:rPr>
            </w:pPr>
          </w:p>
        </w:tc>
      </w:tr>
      <w:tr>
        <w:trPr>
          <w:trHeight w:val="195"/>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Cape Phase I HoldCo - Redeemable noncontrolling interest</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Cape Phase I Intermediate HoldCo - Redeemable noncontrolling interest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77,344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right"/>
              <w:ind w:right="9"/>
              <w:spacing w:after="0" w:line="140" w:lineRule="exact"/>
              <w:rPr>
                <w:sz w:val="20"/>
                <w:szCs w:val="20"/>
                <w:color w:val="auto"/>
              </w:rPr>
            </w:pPr>
            <w:r>
              <w:rPr>
                <w:rFonts w:ascii="Times New Roman" w:cs="Times New Roman" w:eastAsia="Times New Roman" w:hAnsi="Times New Roman"/>
                <w:sz w:val="14"/>
                <w:szCs w:val="14"/>
                <w:color w:val="auto"/>
              </w:rPr>
              <w:t>Common stock, par value $0.0001 per share; 358,279 and 280,000 authorized;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13,146 and 12,470 issued and outstanding as of December 31, 2025 and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2024, respectively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Additional paid-in capital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0" w:type="dxa"/>
            <w:vAlign w:val="bottom"/>
          </w:tcPr>
          <w:p>
            <w:pPr>
              <w:spacing w:after="0"/>
              <w:rPr>
                <w:sz w:val="1"/>
                <w:szCs w:val="1"/>
                <w:color w:val="auto"/>
              </w:rPr>
            </w:pPr>
          </w:p>
        </w:tc>
      </w:tr>
      <w:tr>
        <w:trPr>
          <w:trHeight w:val="129"/>
        </w:trPr>
        <w:tc>
          <w:tcPr>
            <w:tcW w:w="4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Treasury stock, at cost; 375 and 0 shares as of December 31, 2025 and 2024,</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7"/>
        </w:trPr>
        <w:tc>
          <w:tcPr>
            <w:tcW w:w="4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respectively </w:t>
            </w:r>
            <w:r>
              <w:rPr>
                <w:rFonts w:ascii="Times New Roman" w:cs="Times New Roman" w:eastAsia="Times New Roman" w:hAnsi="Times New Roman"/>
                <w:sz w:val="14"/>
                <w:szCs w:val="14"/>
                <w:color w:val="B4B4B4"/>
              </w:rPr>
              <w:t>......................................................................................................</w:t>
            </w: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7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Accumulated deficit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(244,539)</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(179,778)</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Totalstockholders’(deficit)equity</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(246,498)</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(177,195)</w:t>
            </w:r>
          </w:p>
        </w:tc>
        <w:tc>
          <w:tcPr>
            <w:tcW w:w="0" w:type="dxa"/>
            <w:vAlign w:val="bottom"/>
          </w:tcPr>
          <w:p>
            <w:pPr>
              <w:spacing w:after="0"/>
              <w:rPr>
                <w:sz w:val="1"/>
                <w:szCs w:val="1"/>
                <w:color w:val="auto"/>
              </w:rPr>
            </w:pPr>
          </w:p>
        </w:tc>
      </w:tr>
      <w:tr>
        <w:trPr>
          <w:trHeight w:val="113"/>
        </w:trPr>
        <w:tc>
          <w:tcPr>
            <w:tcW w:w="4780" w:type="dxa"/>
            <w:vAlign w:val="bottom"/>
            <w:shd w:val="clear" w:color="auto" w:fill="CCEEFF"/>
          </w:tcPr>
          <w:p>
            <w:pPr>
              <w:jc w:val="right"/>
              <w:ind w:right="429"/>
              <w:spacing w:after="0" w:line="113" w:lineRule="exact"/>
              <w:rPr>
                <w:sz w:val="20"/>
                <w:szCs w:val="20"/>
                <w:color w:val="auto"/>
              </w:rPr>
            </w:pPr>
            <w:r>
              <w:rPr>
                <w:rFonts w:ascii="Times New Roman" w:cs="Times New Roman" w:eastAsia="Times New Roman" w:hAnsi="Times New Roman"/>
                <w:sz w:val="13"/>
                <w:szCs w:val="13"/>
                <w:color w:val="auto"/>
              </w:rPr>
              <w:t>Total liabilities, redeemable convertible preferred stock, redeemable</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noncontrolling interests and stockholders’ (deficit) equity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1,365,168</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531,299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Fervo Energy Company and Subsidiaries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Balance Sheets, Cont’d</w:t>
      </w:r>
    </w:p>
    <w:p>
      <w:pPr>
        <w:spacing w:after="0" w:line="20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exclude intercompany balances that eliminate upon consolidation.</w:t>
      </w:r>
    </w:p>
    <w:p>
      <w:pPr>
        <w:spacing w:after="0" w:line="200" w:lineRule="exact"/>
        <w:rPr>
          <w:sz w:val="20"/>
          <w:szCs w:val="20"/>
          <w:color w:val="auto"/>
        </w:rPr>
      </w:pPr>
    </w:p>
    <w:p>
      <w:pPr>
        <w:spacing w:after="0" w:line="238" w:lineRule="exact"/>
        <w:rPr>
          <w:sz w:val="20"/>
          <w:szCs w:val="20"/>
          <w:color w:val="auto"/>
        </w:rPr>
      </w:pPr>
    </w:p>
    <w:tbl>
      <w:tblPr>
        <w:tblLayout w:type="fixed"/>
        <w:tblInd w:w="1280" w:type="dxa"/>
        <w:tblCellMar>
          <w:top w:w="0" w:type="dxa"/>
          <w:left w:w="0" w:type="dxa"/>
          <w:bottom w:w="0" w:type="dxa"/>
          <w:right w:w="0" w:type="dxa"/>
        </w:tblCellMar>
      </w:tblPr>
      <w:tr>
        <w:trPr>
          <w:trHeight w:val="150"/>
        </w:trPr>
        <w:tc>
          <w:tcPr>
            <w:tcW w:w="5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4"/>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14"/>
                <w:szCs w:val="14"/>
                <w:color w:val="B4B4B4"/>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13,882</w:t>
            </w:r>
          </w:p>
        </w:tc>
      </w:tr>
      <w:tr>
        <w:trPr>
          <w:trHeight w:val="204"/>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Prepaid expenses and other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r>
    </w:tbl>
    <w:p>
      <w:pPr>
        <w:sectPr>
          <w:pgSz w:w="11900" w:h="16942" w:orient="portrait"/>
          <w:cols w:equalWidth="0" w:num="1">
            <w:col w:w="9019"/>
          </w:cols>
          <w:pgMar w:left="1440" w:top="1306" w:right="1440" w:bottom="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26"/>
        </w:trPr>
        <w:tc>
          <w:tcPr>
            <w:tcW w:w="5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Total current assets </w:t>
            </w:r>
            <w:r>
              <w:rPr>
                <w:rFonts w:ascii="Times New Roman" w:cs="Times New Roman" w:eastAsia="Times New Roman" w:hAnsi="Times New Roman"/>
                <w:sz w:val="14"/>
                <w:szCs w:val="14"/>
                <w:color w:val="B4B4B4"/>
              </w:rPr>
              <w:t>........................................................................................................................</w:t>
            </w:r>
          </w:p>
        </w:tc>
        <w:tc>
          <w:tcPr>
            <w:tcW w:w="120" w:type="dxa"/>
            <w:vAlign w:val="bottom"/>
          </w:tcPr>
          <w:p>
            <w:pPr>
              <w:spacing w:after="0"/>
              <w:rPr>
                <w:sz w:val="11"/>
                <w:szCs w:val="11"/>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54"/>
        </w:trPr>
        <w:tc>
          <w:tcPr>
            <w:tcW w:w="5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14,427</w:t>
            </w: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jc w:val="right"/>
              <w:ind w:right="76"/>
              <w:spacing w:after="0" w:line="54" w:lineRule="exact"/>
              <w:rPr>
                <w:sz w:val="20"/>
                <w:szCs w:val="20"/>
                <w:color w:val="auto"/>
              </w:rPr>
            </w:pPr>
            <w:r>
              <w:rPr>
                <w:rFonts w:ascii="Times New Roman" w:cs="Times New Roman" w:eastAsia="Times New Roman" w:hAnsi="Times New Roman"/>
                <w:sz w:val="6"/>
                <w:szCs w:val="6"/>
                <w:b w:val="1"/>
                <w:bCs w:val="1"/>
                <w:color w:val="auto"/>
              </w:rPr>
              <w:t>December 31,</w:t>
            </w:r>
          </w:p>
        </w:tc>
        <w:tc>
          <w:tcPr>
            <w:tcW w:w="0" w:type="dxa"/>
            <w:vAlign w:val="bottom"/>
          </w:tcPr>
          <w:p>
            <w:pPr>
              <w:spacing w:after="0"/>
              <w:rPr>
                <w:sz w:val="1"/>
                <w:szCs w:val="1"/>
                <w:color w:val="auto"/>
              </w:rPr>
            </w:pPr>
          </w:p>
        </w:tc>
      </w:tr>
      <w:tr>
        <w:trPr>
          <w:trHeight w:val="215"/>
        </w:trPr>
        <w:tc>
          <w:tcPr>
            <w:tcW w:w="5760" w:type="dxa"/>
            <w:vAlign w:val="bottom"/>
            <w:tcBorders>
              <w:bottom w:val="single" w:sz="8" w:color="CCEEFF"/>
            </w:tcBorders>
          </w:tcPr>
          <w:p>
            <w:pPr>
              <w:jc w:val="right"/>
              <w:spacing w:after="0" w:line="214" w:lineRule="exact"/>
              <w:rPr>
                <w:sz w:val="20"/>
                <w:szCs w:val="20"/>
                <w:color w:val="auto"/>
              </w:rPr>
            </w:pPr>
            <w:r>
              <w:rPr>
                <w:rFonts w:ascii="Times New Roman" w:cs="Times New Roman" w:eastAsia="Times New Roman" w:hAnsi="Times New Roman"/>
                <w:sz w:val="22"/>
                <w:szCs w:val="22"/>
                <w:color w:val="auto"/>
                <w:w w:val="86"/>
                <w:vertAlign w:val="subscript"/>
              </w:rPr>
              <w:t>(Dollars</w:t>
            </w:r>
            <w:r>
              <w:rPr>
                <w:rFonts w:ascii="Times New Roman" w:cs="Times New Roman" w:eastAsia="Times New Roman" w:hAnsi="Times New Roman"/>
                <w:sz w:val="14"/>
                <w:szCs w:val="14"/>
                <w:color w:val="auto"/>
                <w:w w:val="86"/>
              </w:rPr>
              <w:t>Deposits</w:t>
            </w:r>
            <w:r>
              <w:rPr>
                <w:rFonts w:ascii="Times New Roman" w:cs="Times New Roman" w:eastAsia="Times New Roman" w:hAnsi="Times New Roman"/>
                <w:sz w:val="22"/>
                <w:szCs w:val="22"/>
                <w:color w:val="auto"/>
                <w:w w:val="86"/>
                <w:vertAlign w:val="subscript"/>
              </w:rPr>
              <w:t>inthousands)</w:t>
            </w:r>
            <w:r>
              <w:rPr>
                <w:rFonts w:ascii="Times New Roman" w:cs="Times New Roman" w:eastAsia="Times New Roman" w:hAnsi="Times New Roman"/>
                <w:sz w:val="14"/>
                <w:szCs w:val="14"/>
                <w:color w:val="B4B4B4"/>
                <w:w w:val="86"/>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Construction-in-process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361,213</w:t>
            </w:r>
          </w:p>
        </w:tc>
        <w:tc>
          <w:tcPr>
            <w:tcW w:w="0" w:type="dxa"/>
            <w:vAlign w:val="bottom"/>
          </w:tcPr>
          <w:p>
            <w:pPr>
              <w:spacing w:after="0"/>
              <w:rPr>
                <w:sz w:val="1"/>
                <w:szCs w:val="1"/>
                <w:color w:val="auto"/>
              </w:rPr>
            </w:pPr>
          </w:p>
        </w:tc>
      </w:tr>
      <w:tr>
        <w:trPr>
          <w:trHeight w:val="195"/>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assets of consolidated VIEs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382,798</w:t>
            </w: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60" w:type="dxa"/>
            <w:vAlign w:val="bottom"/>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Accrued capital expenditures</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current liabilities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Totalcurrentliabilities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20,031</w:t>
            </w:r>
          </w:p>
        </w:tc>
        <w:tc>
          <w:tcPr>
            <w:tcW w:w="0" w:type="dxa"/>
            <w:vAlign w:val="bottom"/>
          </w:tcPr>
          <w:p>
            <w:pPr>
              <w:spacing w:after="0"/>
              <w:rPr>
                <w:sz w:val="1"/>
                <w:szCs w:val="1"/>
                <w:color w:val="auto"/>
              </w:rPr>
            </w:pPr>
          </w:p>
        </w:tc>
      </w:tr>
      <w:tr>
        <w:trPr>
          <w:trHeight w:val="195"/>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Long-term debt, net of issuance costs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142,837</w:t>
            </w: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long-term liabilities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0" w:type="dxa"/>
            <w:vAlign w:val="bottom"/>
          </w:tcPr>
          <w:p>
            <w:pPr>
              <w:spacing w:after="0"/>
              <w:rPr>
                <w:sz w:val="1"/>
                <w:szCs w:val="1"/>
                <w:color w:val="auto"/>
              </w:rPr>
            </w:pPr>
          </w:p>
        </w:tc>
      </w:tr>
      <w:tr>
        <w:trPr>
          <w:trHeight w:val="195"/>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liabilities of consolidated VIEs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164,336</w:t>
            </w: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TotalnetassetsofconsolidatedVIEs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218,462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Fervo Energy Company and Subsidiaries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26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6"/>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and shares in thousands except per share amounts)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Revenues</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5"/>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and expenses: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3"/>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Operation and maintenance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Research and development income, net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Operating lease expenses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Operatingloss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(41,838)</w:t>
            </w:r>
          </w:p>
        </w:tc>
      </w:tr>
      <w:tr>
        <w:trPr>
          <w:trHeight w:val="208"/>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non-operating expense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Lossbeforeincometaxes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(41,054)</w:t>
            </w: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Income tax expense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3"/>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Netloss</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4"/>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per share information: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Less: Remeasurement of redeemable noncontrolling interest</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attributable to common shares, basic and diluted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shares, basic and diluted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r>
      <w:tr>
        <w:trPr>
          <w:trHeight w:val="19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loss per share attributable to common stockholders, basic and diluted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9019"/>
          </w:cols>
          <w:pgMar w:left="1440" w:top="153"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Redeemable Preferred Stock, Redeemable Noncontrolling Interest and Stockholders’ Deficit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40" w:type="dxa"/>
            <w:vAlign w:val="bottom"/>
          </w:tcPr>
          <w:p>
            <w:pPr>
              <w:spacing w:after="0"/>
              <w:rPr>
                <w:sz w:val="12"/>
                <w:szCs w:val="12"/>
                <w:color w:val="auto"/>
              </w:rPr>
            </w:pPr>
          </w:p>
        </w:tc>
        <w:tc>
          <w:tcPr>
            <w:tcW w:w="134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1260" w:type="dxa"/>
            <w:vAlign w:val="bottom"/>
            <w:tcBorders>
              <w:right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Redeemable non-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6"/>
        </w:trPr>
        <w:tc>
          <w:tcPr>
            <w:tcW w:w="1740" w:type="dxa"/>
            <w:vAlign w:val="bottom"/>
          </w:tcPr>
          <w:p>
            <w:pPr>
              <w:spacing w:after="0"/>
              <w:rPr>
                <w:sz w:val="4"/>
                <w:szCs w:val="4"/>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vMerge w:val="restart"/>
          </w:tcPr>
          <w:p>
            <w:pPr>
              <w:spacing w:after="0"/>
              <w:rPr>
                <w:sz w:val="4"/>
                <w:szCs w:val="4"/>
                <w:color w:val="auto"/>
              </w:rPr>
            </w:pPr>
          </w:p>
        </w:tc>
        <w:tc>
          <w:tcPr>
            <w:tcW w:w="1260" w:type="dxa"/>
            <w:vAlign w:val="bottom"/>
            <w:tcBorders>
              <w:right w:val="single" w:sz="8" w:color="auto"/>
            </w:tcBorders>
            <w:gridSpan w:val="4"/>
            <w:vMerge w:val="restart"/>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controlling interest</w:t>
            </w:r>
          </w:p>
        </w:tc>
        <w:tc>
          <w:tcPr>
            <w:tcW w:w="20" w:type="dxa"/>
            <w:vAlign w:val="bottom"/>
          </w:tcPr>
          <w:p>
            <w:pPr>
              <w:spacing w:after="0"/>
              <w:rPr>
                <w:sz w:val="4"/>
                <w:szCs w:val="4"/>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740" w:type="dxa"/>
            <w:vAlign w:val="bottom"/>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260" w:type="dxa"/>
            <w:vAlign w:val="bottom"/>
            <w:tcBorders>
              <w:bottom w:val="single" w:sz="8" w:color="auto"/>
              <w:right w:val="single" w:sz="8" w:color="auto"/>
            </w:tcBorders>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paid-in</w:t>
            </w:r>
          </w:p>
        </w:tc>
        <w:tc>
          <w:tcPr>
            <w:tcW w:w="820" w:type="dxa"/>
            <w:vAlign w:val="bottom"/>
            <w:gridSpan w:val="3"/>
          </w:tcPr>
          <w:p>
            <w:pPr>
              <w:jc w:val="center"/>
              <w:ind w:right="4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8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2"/>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(Dollars and shares in thousands)</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6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3"/>
                <w:szCs w:val="13"/>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600" w:type="dxa"/>
            <w:vAlign w:val="bottom"/>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3"/>
        </w:trPr>
        <w:tc>
          <w:tcPr>
            <w:tcW w:w="1740" w:type="dxa"/>
            <w:vAlign w:val="bottom"/>
            <w:tcBorders>
              <w:top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000000"/>
              </w:rPr>
              <w:t>BalanceatJanuary1,2025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223,458</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561,500</w:t>
            </w:r>
          </w:p>
        </w:tc>
        <w:tc>
          <w:tcPr>
            <w:tcW w:w="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right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12,470</w:t>
            </w:r>
          </w:p>
        </w:tc>
        <w:tc>
          <w:tcPr>
            <w:tcW w:w="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(179,778)</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(177,195)</w:t>
            </w:r>
          </w:p>
        </w:tc>
        <w:tc>
          <w:tcPr>
            <w:tcW w:w="0" w:type="dxa"/>
            <w:vAlign w:val="bottom"/>
          </w:tcPr>
          <w:p>
            <w:pPr>
              <w:spacing w:after="0"/>
              <w:rPr>
                <w:sz w:val="1"/>
                <w:szCs w:val="1"/>
                <w:color w:val="auto"/>
              </w:rPr>
            </w:pPr>
          </w:p>
        </w:tc>
      </w:tr>
      <w:tr>
        <w:trPr>
          <w:trHeight w:val="129"/>
        </w:trPr>
        <w:tc>
          <w:tcPr>
            <w:tcW w:w="17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Issuance of shares in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subsidiaries, net of issuance</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167,203</w:t>
            </w:r>
          </w:p>
        </w:tc>
        <w:tc>
          <w:tcPr>
            <w:tcW w:w="2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cost of $973 </w:t>
            </w:r>
            <w:r>
              <w:rPr>
                <w:rFonts w:ascii="Times New Roman" w:cs="Times New Roman" w:eastAsia="Times New Roman" w:hAnsi="Times New Roman"/>
                <w:sz w:val="13"/>
                <w:szCs w:val="13"/>
                <w:color w:val="B4B4B4"/>
              </w:rPr>
              <w:t>...........................</w:t>
            </w: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40" w:type="dxa"/>
            <w:vAlign w:val="bottom"/>
            <w:shd w:val="clear" w:color="auto" w:fill="CCEEFF"/>
          </w:tcPr>
          <w:p>
            <w:pPr>
              <w:ind w:left="60"/>
              <w:spacing w:after="0" w:line="137" w:lineRule="exact"/>
              <w:rPr>
                <w:sz w:val="20"/>
                <w:szCs w:val="20"/>
                <w:color w:val="auto"/>
              </w:rPr>
            </w:pPr>
            <w:r>
              <w:rPr>
                <w:rFonts w:ascii="Times New Roman" w:cs="Times New Roman" w:eastAsia="Times New Roman" w:hAnsi="Times New Roman"/>
                <w:sz w:val="13"/>
                <w:szCs w:val="13"/>
                <w:color w:val="auto"/>
              </w:rPr>
              <w:t>Remeasurement of redeemable</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12,727</w:t>
            </w:r>
          </w:p>
        </w:tc>
        <w:tc>
          <w:tcPr>
            <w:tcW w:w="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(12,727)</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noncontrolling interests </w:t>
            </w:r>
            <w:r>
              <w:rPr>
                <w:rFonts w:ascii="Times New Roman" w:cs="Times New Roman" w:eastAsia="Times New Roman" w:hAnsi="Times New Roman"/>
                <w:sz w:val="13"/>
                <w:szCs w:val="13"/>
                <w:color w:val="B4B4B4"/>
              </w:rPr>
              <w:t>.........</w:t>
            </w: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Issuance of Series E-1</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redeemable convertible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preferred stock, net of</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56,537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461,442</w:t>
            </w:r>
          </w:p>
        </w:tc>
        <w:tc>
          <w:tcPr>
            <w:tcW w:w="40" w:type="dxa"/>
            <w:vAlign w:val="bottom"/>
          </w:tcPr>
          <w:p>
            <w:pPr>
              <w:spacing w:after="0"/>
              <w:rPr>
                <w:sz w:val="11"/>
                <w:szCs w:val="11"/>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issuance cost of $558 </w:t>
            </w:r>
            <w:r>
              <w:rPr>
                <w:rFonts w:ascii="Times New Roman" w:cs="Times New Roman" w:eastAsia="Times New Roman" w:hAnsi="Times New Roman"/>
                <w:sz w:val="13"/>
                <w:szCs w:val="13"/>
                <w:color w:val="B4B4B4"/>
              </w:rPr>
              <w:t>.............</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Repurchase of shares </w:t>
            </w:r>
            <w:r>
              <w:rPr>
                <w:rFonts w:ascii="Times New Roman" w:cs="Times New Roman" w:eastAsia="Times New Roman" w:hAnsi="Times New Roman"/>
                <w:sz w:val="13"/>
                <w:szCs w:val="13"/>
                <w:color w:val="B4B4B4"/>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0" w:type="dxa"/>
            <w:vAlign w:val="bottom"/>
          </w:tcPr>
          <w:p>
            <w:pPr>
              <w:spacing w:after="0"/>
              <w:rPr>
                <w:sz w:val="1"/>
                <w:szCs w:val="1"/>
                <w:color w:val="auto"/>
              </w:rPr>
            </w:pPr>
          </w:p>
        </w:tc>
      </w:tr>
      <w:tr>
        <w:trPr>
          <w:trHeight w:val="175"/>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Stock-based compensation </w:t>
            </w:r>
            <w:r>
              <w:rPr>
                <w:rFonts w:ascii="Times New Roman" w:cs="Times New Roman" w:eastAsia="Times New Roman" w:hAnsi="Times New Roman"/>
                <w:sz w:val="13"/>
                <w:szCs w:val="13"/>
                <w:color w:val="B4B4B4"/>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0" w:type="dxa"/>
            <w:vAlign w:val="bottom"/>
          </w:tcPr>
          <w:p>
            <w:pPr>
              <w:spacing w:after="0"/>
              <w:rPr>
                <w:sz w:val="1"/>
                <w:szCs w:val="1"/>
                <w:color w:val="auto"/>
              </w:rPr>
            </w:pPr>
          </w:p>
        </w:tc>
      </w:tr>
      <w:tr>
        <w:trPr>
          <w:trHeight w:val="137"/>
        </w:trPr>
        <w:tc>
          <w:tcPr>
            <w:tcW w:w="1740" w:type="dxa"/>
            <w:vAlign w:val="bottom"/>
            <w:shd w:val="clear" w:color="auto" w:fill="CCEEFF"/>
          </w:tcPr>
          <w:p>
            <w:pPr>
              <w:ind w:left="60"/>
              <w:spacing w:after="0" w:line="137" w:lineRule="exact"/>
              <w:rPr>
                <w:sz w:val="20"/>
                <w:szCs w:val="20"/>
                <w:color w:val="auto"/>
              </w:rPr>
            </w:pPr>
            <w:r>
              <w:rPr>
                <w:rFonts w:ascii="Times New Roman" w:cs="Times New Roman" w:eastAsia="Times New Roman" w:hAnsi="Times New Roman"/>
                <w:sz w:val="13"/>
                <w:szCs w:val="13"/>
                <w:color w:val="auto"/>
              </w:rPr>
              <w:t>Exercise of stock-based awards</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by employees and directors </w:t>
            </w:r>
            <w:r>
              <w:rPr>
                <w:rFonts w:ascii="Times New Roman" w:cs="Times New Roman" w:eastAsia="Times New Roman" w:hAnsi="Times New Roman"/>
                <w:sz w:val="13"/>
                <w:szCs w:val="13"/>
                <w:color w:val="B4B4B4"/>
              </w:rPr>
              <w:t>...</w:t>
            </w: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Net loss </w:t>
            </w:r>
            <w:r>
              <w:rPr>
                <w:rFonts w:ascii="Times New Roman" w:cs="Times New Roman" w:eastAsia="Times New Roman" w:hAnsi="Times New Roman"/>
                <w:sz w:val="13"/>
                <w:szCs w:val="13"/>
                <w:color w:val="B4B4B4"/>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(57,788)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(57,788)</w:t>
            </w:r>
          </w:p>
        </w:tc>
        <w:tc>
          <w:tcPr>
            <w:tcW w:w="0" w:type="dxa"/>
            <w:vAlign w:val="bottom"/>
          </w:tcPr>
          <w:p>
            <w:pPr>
              <w:spacing w:after="0"/>
              <w:rPr>
                <w:sz w:val="1"/>
                <w:szCs w:val="1"/>
                <w:color w:val="auto"/>
              </w:rPr>
            </w:pPr>
          </w:p>
        </w:tc>
      </w:tr>
      <w:tr>
        <w:trPr>
          <w:trHeight w:val="174"/>
        </w:trPr>
        <w:tc>
          <w:tcPr>
            <w:tcW w:w="1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000000"/>
              </w:rPr>
              <w:t>BalanceatDecember31,2025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279,995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1,022,942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right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179,930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(244,539)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(246,498)</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Redeemable Preferred Stock, Redeemable Noncontrolling Interest and Stockholders’ Deficit</w:t>
      </w:r>
    </w:p>
    <w:p>
      <w:pPr>
        <w:spacing w:after="0" w:line="200" w:lineRule="exact"/>
        <w:rPr>
          <w:sz w:val="20"/>
          <w:szCs w:val="20"/>
          <w:color w:val="auto"/>
        </w:rPr>
      </w:pP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(Dollars and shares in thousands)</w:t>
            </w: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Balance at January 1, 2024 </w:t>
            </w:r>
            <w:r>
              <w:rPr>
                <w:rFonts w:ascii="Times New Roman" w:cs="Times New Roman" w:eastAsia="Times New Roman" w:hAnsi="Times New Roman"/>
                <w:sz w:val="14"/>
                <w:szCs w:val="14"/>
                <w:color w:val="B4B4B4"/>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100,768</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182,257</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12,341</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(138,668)</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(137,525)</w:t>
            </w:r>
          </w:p>
        </w:tc>
      </w:tr>
      <w:tr>
        <w:trPr>
          <w:trHeight w:val="151"/>
        </w:trPr>
        <w:tc>
          <w:tcPr>
            <w:tcW w:w="25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 Series D-1 redeemable</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252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convertible preferred stock, net of</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8"/>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issuance costs of $1,090 </w:t>
            </w:r>
            <w:r>
              <w:rPr>
                <w:rFonts w:ascii="Times New Roman" w:cs="Times New Roman" w:eastAsia="Times New Roman" w:hAnsi="Times New Roman"/>
                <w:sz w:val="14"/>
                <w:szCs w:val="14"/>
                <w:color w:val="B4B4B4"/>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92,344</w:t>
            </w:r>
          </w:p>
        </w:tc>
        <w:tc>
          <w:tcPr>
            <w:tcW w:w="20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232,753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Conversion of 2023 convertible notes to</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252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Series D-2 redeemable convertible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8"/>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preferred stock </w:t>
            </w:r>
            <w:r>
              <w:rPr>
                <w:rFonts w:ascii="Times New Roman" w:cs="Times New Roman" w:eastAsia="Times New Roman" w:hAnsi="Times New Roman"/>
                <w:sz w:val="14"/>
                <w:szCs w:val="14"/>
                <w:color w:val="B4B4B4"/>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4,766</w:t>
            </w:r>
          </w:p>
        </w:tc>
        <w:tc>
          <w:tcPr>
            <w:tcW w:w="20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12,025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Issuance of Series D-3 redeemable</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252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convertible preferred stock, net of</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8"/>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$627</w:t>
            </w:r>
            <w:r>
              <w:rPr>
                <w:rFonts w:ascii="Times New Roman" w:cs="Times New Roman" w:eastAsia="Times New Roman" w:hAnsi="Times New Roman"/>
                <w:sz w:val="14"/>
                <w:szCs w:val="14"/>
                <w:color w:val="B4B4B4"/>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25,468</w:t>
            </w:r>
          </w:p>
        </w:tc>
        <w:tc>
          <w:tcPr>
            <w:tcW w:w="20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133,873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Conversion of Simple Agreement for</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252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Future Equity (“SAFE”) to Series D-4</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6"/>
        </w:trPr>
        <w:tc>
          <w:tcPr>
            <w:tcW w:w="25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redeemable convertible preferred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2"/>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stock </w:t>
            </w:r>
            <w:r>
              <w:rPr>
                <w:rFonts w:ascii="Times New Roman" w:cs="Times New Roman" w:eastAsia="Times New Roman" w:hAnsi="Times New Roman"/>
                <w:sz w:val="14"/>
                <w:szCs w:val="14"/>
                <w:color w:val="B4B4B4"/>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592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30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r>
      <w:tr>
        <w:trPr>
          <w:trHeight w:val="155"/>
        </w:trPr>
        <w:tc>
          <w:tcPr>
            <w:tcW w:w="2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Exercise of stock-based awards by</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6"/>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employees and directors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bl>
    <w:p>
      <w:pPr>
        <w:sectPr>
          <w:pgSz w:w="11900" w:h="16860" w:orient="portrait"/>
          <w:cols w:equalWidth="0" w:num="1">
            <w:col w:w="9280"/>
          </w:cols>
          <w:pgMar w:left="1340" w:top="1440" w:right="1279" w:bottom="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(41,110)</w:t>
            </w:r>
          </w:p>
        </w:tc>
        <w:tc>
          <w:tcPr>
            <w:tcW w:w="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(41,110)</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2000" w:type="dxa"/>
            <w:vAlign w:val="bottom"/>
            <w:gridSpan w:val="5"/>
          </w:tcPr>
          <w:p>
            <w:pPr>
              <w:ind w:left="120"/>
              <w:spacing w:after="0" w:line="33" w:lineRule="exact"/>
              <w:rPr>
                <w:sz w:val="20"/>
                <w:szCs w:val="20"/>
                <w:color w:val="auto"/>
              </w:rPr>
            </w:pPr>
            <w:r>
              <w:rPr>
                <w:rFonts w:ascii="Times New Roman" w:cs="Times New Roman" w:eastAsia="Times New Roman" w:hAnsi="Times New Roman"/>
                <w:sz w:val="3"/>
                <w:szCs w:val="3"/>
                <w:b w:val="1"/>
                <w:bCs w:val="1"/>
                <w:color w:val="auto"/>
              </w:rPr>
              <w:t>Redeemable convertible preferred</w:t>
            </w:r>
          </w:p>
        </w:tc>
        <w:tc>
          <w:tcPr>
            <w:tcW w:w="152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vMerge w:val="restart"/>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07"/>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Balance at December 31, 2024 </w:t>
            </w:r>
            <w:r>
              <w:rPr>
                <w:rFonts w:ascii="Times New Roman" w:cs="Times New Roman" w:eastAsia="Times New Roman" w:hAnsi="Times New Roman"/>
                <w:sz w:val="14"/>
                <w:szCs w:val="14"/>
                <w:color w:val="B4B4B4"/>
              </w:rPr>
              <w:t>..............</w:t>
            </w:r>
          </w:p>
        </w:tc>
        <w:tc>
          <w:tcPr>
            <w:tcW w:w="1260" w:type="dxa"/>
            <w:vAlign w:val="bottom"/>
            <w:gridSpan w:val="3"/>
          </w:tcPr>
          <w:p>
            <w:pPr>
              <w:jc w:val="right"/>
              <w:ind w:right="148"/>
              <w:spacing w:after="0" w:line="107" w:lineRule="exact"/>
              <w:rPr>
                <w:sz w:val="20"/>
                <w:szCs w:val="20"/>
                <w:color w:val="auto"/>
              </w:rPr>
            </w:pPr>
            <w:r>
              <w:rPr>
                <w:rFonts w:ascii="Times New Roman" w:cs="Times New Roman" w:eastAsia="Times New Roman" w:hAnsi="Times New Roman"/>
                <w:sz w:val="11"/>
                <w:szCs w:val="11"/>
                <w:b w:val="1"/>
                <w:bCs w:val="1"/>
                <w:color w:val="auto"/>
              </w:rPr>
              <w:t>stock</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920" w:type="dxa"/>
            <w:vAlign w:val="bottom"/>
          </w:tcPr>
          <w:p>
            <w:pPr>
              <w:jc w:val="right"/>
              <w:spacing w:after="0" w:line="65" w:lineRule="exact"/>
              <w:rPr>
                <w:sz w:val="20"/>
                <w:szCs w:val="20"/>
                <w:color w:val="auto"/>
              </w:rPr>
            </w:pPr>
            <w:r>
              <w:rPr>
                <w:rFonts w:ascii="Times New Roman" w:cs="Times New Roman" w:eastAsia="Times New Roman" w:hAnsi="Times New Roman"/>
                <w:sz w:val="6"/>
                <w:szCs w:val="6"/>
                <w:color w:val="auto"/>
              </w:rPr>
              <w:t>223,458</w:t>
            </w:r>
          </w:p>
        </w:tc>
        <w:tc>
          <w:tcPr>
            <w:tcW w:w="60" w:type="dxa"/>
            <w:vAlign w:val="bottom"/>
          </w:tcPr>
          <w:p>
            <w:pPr>
              <w:spacing w:after="0"/>
              <w:rPr>
                <w:sz w:val="5"/>
                <w:szCs w:val="5"/>
                <w:color w:val="auto"/>
              </w:rPr>
            </w:pPr>
          </w:p>
        </w:tc>
        <w:tc>
          <w:tcPr>
            <w:tcW w:w="280" w:type="dxa"/>
            <w:vAlign w:val="bottom"/>
          </w:tcPr>
          <w:p>
            <w:pPr>
              <w:jc w:val="right"/>
              <w:ind w:right="148"/>
              <w:spacing w:after="0" w:line="65" w:lineRule="exact"/>
              <w:rPr>
                <w:sz w:val="20"/>
                <w:szCs w:val="20"/>
                <w:color w:val="auto"/>
              </w:rPr>
            </w:pPr>
            <w:r>
              <w:rPr>
                <w:rFonts w:ascii="Times New Roman" w:cs="Times New Roman" w:eastAsia="Times New Roman" w:hAnsi="Times New Roman"/>
                <w:sz w:val="6"/>
                <w:szCs w:val="6"/>
                <w:color w:val="auto"/>
              </w:rPr>
              <w:t>$</w:t>
            </w:r>
          </w:p>
        </w:tc>
        <w:tc>
          <w:tcPr>
            <w:tcW w:w="640" w:type="dxa"/>
            <w:vAlign w:val="bottom"/>
          </w:tcPr>
          <w:p>
            <w:pPr>
              <w:jc w:val="right"/>
              <w:spacing w:after="0" w:line="65" w:lineRule="exact"/>
              <w:rPr>
                <w:sz w:val="20"/>
                <w:szCs w:val="20"/>
                <w:color w:val="auto"/>
              </w:rPr>
            </w:pPr>
            <w:r>
              <w:rPr>
                <w:rFonts w:ascii="Times New Roman" w:cs="Times New Roman" w:eastAsia="Times New Roman" w:hAnsi="Times New Roman"/>
                <w:sz w:val="6"/>
                <w:szCs w:val="6"/>
                <w:color w:val="auto"/>
              </w:rPr>
              <w:t>561,500</w:t>
            </w:r>
          </w:p>
        </w:tc>
        <w:tc>
          <w:tcPr>
            <w:tcW w:w="100" w:type="dxa"/>
            <w:vAlign w:val="bottom"/>
          </w:tcPr>
          <w:p>
            <w:pPr>
              <w:spacing w:after="0"/>
              <w:rPr>
                <w:sz w:val="5"/>
                <w:szCs w:val="5"/>
                <w:color w:val="auto"/>
              </w:rPr>
            </w:pPr>
          </w:p>
        </w:tc>
        <w:tc>
          <w:tcPr>
            <w:tcW w:w="940" w:type="dxa"/>
            <w:vAlign w:val="bottom"/>
          </w:tcPr>
          <w:p>
            <w:pPr>
              <w:jc w:val="right"/>
              <w:ind w:right="9"/>
              <w:spacing w:after="0" w:line="65" w:lineRule="exact"/>
              <w:rPr>
                <w:sz w:val="20"/>
                <w:szCs w:val="20"/>
                <w:color w:val="auto"/>
              </w:rPr>
            </w:pPr>
            <w:r>
              <w:rPr>
                <w:rFonts w:ascii="Times New Roman" w:cs="Times New Roman" w:eastAsia="Times New Roman" w:hAnsi="Times New Roman"/>
                <w:sz w:val="6"/>
                <w:szCs w:val="6"/>
                <w:color w:val="auto"/>
              </w:rPr>
              <w:t>12,470</w:t>
            </w:r>
          </w:p>
        </w:tc>
        <w:tc>
          <w:tcPr>
            <w:tcW w:w="40" w:type="dxa"/>
            <w:vAlign w:val="bottom"/>
          </w:tcPr>
          <w:p>
            <w:pPr>
              <w:spacing w:after="0"/>
              <w:rPr>
                <w:sz w:val="5"/>
                <w:szCs w:val="5"/>
                <w:color w:val="auto"/>
              </w:rPr>
            </w:pPr>
          </w:p>
        </w:tc>
        <w:tc>
          <w:tcPr>
            <w:tcW w:w="540" w:type="dxa"/>
            <w:vAlign w:val="bottom"/>
          </w:tcPr>
          <w:p>
            <w:pPr>
              <w:jc w:val="right"/>
              <w:ind w:right="408"/>
              <w:spacing w:after="0" w:line="65"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tcPr>
          <w:p>
            <w:pPr>
              <w:jc w:val="right"/>
              <w:ind w:right="12"/>
              <w:spacing w:after="0" w:line="65" w:lineRule="exact"/>
              <w:rPr>
                <w:sz w:val="20"/>
                <w:szCs w:val="20"/>
                <w:color w:val="auto"/>
              </w:rPr>
            </w:pPr>
            <w:r>
              <w:rPr>
                <w:rFonts w:ascii="Times New Roman" w:cs="Times New Roman" w:eastAsia="Times New Roman" w:hAnsi="Times New Roman"/>
                <w:sz w:val="6"/>
                <w:szCs w:val="6"/>
                <w:color w:val="auto"/>
              </w:rPr>
              <w:t>1</w:t>
            </w:r>
          </w:p>
        </w:tc>
        <w:tc>
          <w:tcPr>
            <w:tcW w:w="40" w:type="dxa"/>
            <w:vAlign w:val="bottom"/>
          </w:tcPr>
          <w:p>
            <w:pPr>
              <w:spacing w:after="0"/>
              <w:rPr>
                <w:sz w:val="5"/>
                <w:szCs w:val="5"/>
                <w:color w:val="auto"/>
              </w:rPr>
            </w:pPr>
          </w:p>
        </w:tc>
        <w:tc>
          <w:tcPr>
            <w:tcW w:w="980" w:type="dxa"/>
            <w:vAlign w:val="bottom"/>
            <w:gridSpan w:val="2"/>
          </w:tcPr>
          <w:p>
            <w:pPr>
              <w:jc w:val="right"/>
              <w:ind w:right="100"/>
              <w:spacing w:after="0" w:line="65"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Additional</w:t>
            </w:r>
            <w:r>
              <w:rPr>
                <w:rFonts w:ascii="Times New Roman" w:cs="Times New Roman" w:eastAsia="Times New Roman" w:hAnsi="Times New Roman"/>
                <w:sz w:val="6"/>
                <w:szCs w:val="6"/>
                <w:color w:val="auto"/>
              </w:rPr>
              <w:t xml:space="preserve"> 2,582</w:t>
            </w:r>
            <w:r>
              <w:rPr>
                <w:rFonts w:ascii="Times New Roman" w:cs="Times New Roman" w:eastAsia="Times New Roman" w:hAnsi="Times New Roman"/>
                <w:sz w:val="6"/>
                <w:szCs w:val="6"/>
                <w:b w:val="1"/>
                <w:bCs w:val="1"/>
                <w:color w:val="auto"/>
              </w:rPr>
              <w:t>paid-</w:t>
            </w:r>
          </w:p>
        </w:tc>
        <w:tc>
          <w:tcPr>
            <w:tcW w:w="980" w:type="dxa"/>
            <w:vAlign w:val="bottom"/>
            <w:gridSpan w:val="2"/>
          </w:tcPr>
          <w:p>
            <w:pPr>
              <w:jc w:val="right"/>
              <w:ind w:right="60"/>
              <w:spacing w:after="0" w:line="65"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Accumulated</w:t>
            </w:r>
            <w:r>
              <w:rPr>
                <w:rFonts w:ascii="Times New Roman" w:cs="Times New Roman" w:eastAsia="Times New Roman" w:hAnsi="Times New Roman"/>
                <w:sz w:val="6"/>
                <w:szCs w:val="6"/>
                <w:color w:val="auto"/>
              </w:rPr>
              <w:t>(179,778)</w:t>
            </w:r>
          </w:p>
        </w:tc>
        <w:tc>
          <w:tcPr>
            <w:tcW w:w="920" w:type="dxa"/>
            <w:vAlign w:val="bottom"/>
          </w:tcPr>
          <w:p>
            <w:pPr>
              <w:jc w:val="right"/>
              <w:spacing w:after="0" w:line="65"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stockholders’</w:t>
            </w:r>
            <w:r>
              <w:rPr>
                <w:rFonts w:ascii="Times New Roman" w:cs="Times New Roman" w:eastAsia="Times New Roman" w:hAnsi="Times New Roman"/>
                <w:sz w:val="6"/>
                <w:szCs w:val="6"/>
                <w:color w:val="auto"/>
              </w:rPr>
              <w:t>(177,195)</w:t>
            </w:r>
          </w:p>
        </w:tc>
        <w:tc>
          <w:tcPr>
            <w:tcW w:w="0" w:type="dxa"/>
            <w:vAlign w:val="bottom"/>
          </w:tcPr>
          <w:p>
            <w:pPr>
              <w:spacing w:after="0"/>
              <w:rPr>
                <w:sz w:val="1"/>
                <w:szCs w:val="1"/>
                <w:color w:val="auto"/>
              </w:rPr>
            </w:pPr>
          </w:p>
        </w:tc>
      </w:tr>
      <w:tr>
        <w:trPr>
          <w:trHeight w:val="150"/>
        </w:trPr>
        <w:tc>
          <w:tcPr>
            <w:tcW w:w="23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9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-299085</wp:posOffset>
            </wp:positionV>
            <wp:extent cx="721296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264"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(57,788)</w:t>
            </w:r>
          </w:p>
        </w:tc>
        <w:tc>
          <w:tcPr>
            <w:tcW w:w="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Amortization of debt issuance costs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Non-cash expense related to long-term operating leases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Non-cash expense related to warrant valuation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Non-cash expense related to derivative valuation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Grant receivables</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Prepaid expenses and other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Deposits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current liabilities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Netcashusedinoperatingactivities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(54,748)</w:t>
            </w: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Capital expenditures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(465,659)</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(178,693)</w:t>
            </w:r>
          </w:p>
        </w:tc>
        <w:tc>
          <w:tcPr>
            <w:tcW w:w="0" w:type="dxa"/>
            <w:vAlign w:val="bottom"/>
          </w:tcPr>
          <w:p>
            <w:pPr>
              <w:spacing w:after="0"/>
              <w:rPr>
                <w:sz w:val="1"/>
                <w:szCs w:val="1"/>
                <w:color w:val="auto"/>
              </w:rPr>
            </w:pPr>
          </w:p>
        </w:tc>
      </w:tr>
      <w:tr>
        <w:trPr>
          <w:trHeight w:val="180"/>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Netcashusedininvestingactivities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(465,659)</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(178,693)</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issuance of common stock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Proceeds from issuance of redeemable convertible preferred stock</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368,343</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Issuance costs related to redeemable convertible preferred stock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issuance of subsidiary stock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Issuance costs related to subsidiary stock</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issuance of warrants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issuance of SAFE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long-term debt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40,684</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Debt issuance costs related to long-term debt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Treasury stock purchased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Netcashprovidedbyfinancingactivities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765,824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403,754</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Net change in cash and cash equivalents and restricted cash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170,313</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Cash and cash equivalents and restricted cash at beginning of period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199,428</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29,115</w:t>
            </w:r>
          </w:p>
        </w:tc>
        <w:tc>
          <w:tcPr>
            <w:tcW w:w="0" w:type="dxa"/>
            <w:vAlign w:val="bottom"/>
          </w:tcPr>
          <w:p>
            <w:pPr>
              <w:spacing w:after="0"/>
              <w:rPr>
                <w:sz w:val="1"/>
                <w:szCs w:val="1"/>
                <w:color w:val="auto"/>
              </w:rPr>
            </w:pPr>
          </w:p>
        </w:tc>
      </w:tr>
      <w:tr>
        <w:trPr>
          <w:trHeight w:val="193"/>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Cashandcashequivalentsandrestrictedcashatendofperiod</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467,836</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capital expenditures (at end of period)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54,146</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Adjustment of redeemable noncontrolling interest</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paid for interest, net of amounts capitalized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Cash paid for taxes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Non-cash activity related to conversion of convertible note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0" w:type="dxa"/>
            <w:vAlign w:val="bottom"/>
          </w:tcPr>
          <w:p>
            <w:pPr>
              <w:spacing w:after="0"/>
              <w:rPr>
                <w:sz w:val="1"/>
                <w:szCs w:val="1"/>
                <w:color w:val="auto"/>
              </w:rPr>
            </w:pPr>
          </w:p>
        </w:tc>
      </w:tr>
      <w:tr>
        <w:trPr>
          <w:trHeight w:val="19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Non-cash activity related to conversion of SAFE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2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ectPr>
          <w:pgSz w:w="11900" w:h="16838" w:orient="portrait"/>
          <w:cols w:equalWidth="0" w:num="1">
            <w:col w:w="9220"/>
          </w:cols>
          <w:pgMar w:left="1400" w:top="86" w:right="1279" w:bottom="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Notes to Consolidated Financial Statements</w:t>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Fervo Energy Company (the “Company” or “Fervo”) is a Delaware Corporation formed on May 27, 2017, to commercialize technology to own, develop, and operate geothermal assets. Fervo’s innovations include technologies such as advanced computational models, horizontal drilling, and distributed fiber optic sensing that were developed with various partners to increase the productivity and lifetime of geothermal wells. The Company’s geographical area of operation is in the western region of the United States.</w:t>
      </w:r>
    </w:p>
    <w:p>
      <w:pPr>
        <w:spacing w:after="0" w:line="99"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The U.S. federal government encourages production of electricity from geothermal resources. The Company requested and received grants for research and development and project development from the Department of Energy (“DOE”).</w:t>
      </w:r>
    </w:p>
    <w:p>
      <w:pPr>
        <w:spacing w:after="0" w:line="9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December 31, 2025, the Company has not yet commenced principal operations. The Company’s activities to date have been primarily focused on technological development, capital raising, and the establishment of geothermal production capabilities.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44"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are prepared in accordance with accounting principles generally accepted in the United States of America (“U.S. GAAP”) and include the accounts of the Company and of all majority-owned subsidiaries in which the Company exercises control over operating and financial policies. Intercompany accounts and transactions have been eliminated in consolidation. Certain amounts reported in the prior year have been reclassified to conform to the current year’s presentation.</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Preparation of Consolidated Financial Statements</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dates of such consolidated financial statements and the reported amounts of revenues and expenses during the reporting periods. Actual results could differ from those estimates, and such differences could be material to the Company’s consolidated financial statements.</w:t>
      </w:r>
    </w:p>
    <w:p>
      <w:pPr>
        <w:spacing w:after="0" w:line="99" w:lineRule="exact"/>
        <w:rPr>
          <w:sz w:val="20"/>
          <w:szCs w:val="20"/>
          <w:color w:val="auto"/>
        </w:rPr>
      </w:pPr>
    </w:p>
    <w:p>
      <w:pPr>
        <w:ind w:left="1160" w:right="1159" w:firstLine="258"/>
        <w:spacing w:after="0" w:line="178" w:lineRule="exact"/>
        <w:rPr>
          <w:sz w:val="20"/>
          <w:szCs w:val="20"/>
          <w:color w:val="auto"/>
        </w:rPr>
      </w:pPr>
      <w:r>
        <w:rPr>
          <w:rFonts w:ascii="Times New Roman" w:cs="Times New Roman" w:eastAsia="Times New Roman" w:hAnsi="Times New Roman"/>
          <w:sz w:val="14"/>
          <w:szCs w:val="14"/>
          <w:color w:val="auto"/>
        </w:rPr>
        <w:t>The most significant estimates and assumptions affecting the Company’s consolidated financial statements relate to the evaluation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lived assets for impairment, asset retirement obligations at initial recognition, valuation of warrants, accounting for investments and joint ventures, determination of the incremental borrowing rate (“IBR”) used to measure lease liabilities, and the valuation of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awards. These estimates require management to make judgments regarding future cash flows, discount rates, volatility assumptions, credit risk, and other 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and entity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inputs.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44"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Company does not have any other comprehensive income or loss for the years ended December 31, 2025 and 2024. As such, net loss and comprehensive loss are the same for the periods presented.</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144"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Company considers all highly liquid instruments, with an original maturity of three months or less, to be cash equivalents. Under the terms of certain contracts, the Company is required to maintain an escrow account that serves as a development security and is classified as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represents the Company’s cash and cash equivalents and restricted cash:</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6"/>
        </w:trPr>
        <w:tc>
          <w:tcPr>
            <w:tcW w:w="4500" w:type="dxa"/>
            <w:vAlign w:val="bottom"/>
            <w:tcBorders>
              <w:bottom w:val="single" w:sz="8" w:color="CCEEFF"/>
            </w:tcBorders>
          </w:tcPr>
          <w:p>
            <w:pPr>
              <w:jc w:val="right"/>
              <w:ind w:right="3371"/>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Cash</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19,844</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7,511</w:t>
            </w:r>
          </w:p>
        </w:tc>
      </w:tr>
      <w:tr>
        <w:trPr>
          <w:trHeight w:val="198"/>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Money market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441,992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185,917</w:t>
            </w:r>
          </w:p>
        </w:tc>
      </w:tr>
      <w:tr>
        <w:trPr>
          <w:trHeight w:val="210"/>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63"/>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Totalcashandcashequivalentsandrestrictedcash</w:t>
            </w: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467,836</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199,428</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Deposits and Other</w:t>
      </w:r>
    </w:p>
    <w:p>
      <w:pPr>
        <w:spacing w:after="0" w:line="144"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Deposits consist primarily of performance bonds for completion of projects and subsequent delivery of product according to the contractual terms. As of December 31, 2025 and 2024 deposits totaled $15.2 million and $25.0 million, respectively . As of December 31, 2025 and 2024 , prepaid annual service fees paid to a service provider</w:t>
      </w:r>
    </w:p>
    <w:p>
      <w:pPr>
        <w:spacing w:after="0" w:line="2" w:lineRule="exact"/>
        <w:rPr>
          <w:sz w:val="20"/>
          <w:szCs w:val="20"/>
          <w:color w:val="auto"/>
        </w:rPr>
      </w:pPr>
    </w:p>
    <w:p>
      <w:pPr>
        <w:ind w:left="1160" w:right="1179"/>
        <w:spacing w:after="0" w:line="264" w:lineRule="auto"/>
        <w:rPr>
          <w:sz w:val="20"/>
          <w:szCs w:val="20"/>
          <w:color w:val="auto"/>
        </w:rPr>
      </w:pPr>
      <w:r>
        <w:rPr>
          <w:rFonts w:ascii="Times New Roman" w:cs="Times New Roman" w:eastAsia="Times New Roman" w:hAnsi="Times New Roman"/>
          <w:sz w:val="14"/>
          <w:szCs w:val="14"/>
          <w:color w:val="auto"/>
        </w:rPr>
        <w:t>totaled $7.5 million and $7.5 million, respectively. As of December 31, 2025 , $2.0 million is included in prepaid expenses and other and $5.5 million is included in other long-term assets, whereas as of December 31, 2024 , the $7.5 million is included in other long-term assets.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Exploration and Development Costs</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The Company capitalizes costs incurred in connection with the exploration and development of geothermal resources once it acquires land rights to the geothermal resource. Prior to acquiring land rights, the Company makes an initial assessment that an economically feasible geothermal reservoir is probable on that land. The Company determines the economic feasibility of potential geothermal resources, with all available data and external assessments. Costs associated with the initial assessment are expensed and included in research and development expenses in the Consolidated Statements of Operations.</w:t>
      </w:r>
    </w:p>
    <w:p>
      <w:pPr>
        <w:sectPr>
          <w:pgSz w:w="11900" w:h="16838" w:orient="portrait"/>
          <w:cols w:equalWidth="0" w:num="1">
            <w:col w:w="9019"/>
          </w:cols>
          <w:pgMar w:left="1440" w:top="189" w:right="1440" w:bottom="0" w:gutter="0" w:footer="0" w:header="0"/>
        </w:sectPr>
      </w:pPr>
    </w:p>
    <w:bookmarkStart w:id="148" w:name="page149"/>
    <w:bookmarkEnd w:id="148"/>
    <w:p>
      <w:pPr>
        <w:spacing w:after="0" w:line="47" w:lineRule="exact"/>
        <w:rPr>
          <w:sz w:val="20"/>
          <w:szCs w:val="20"/>
          <w:color w:val="auto"/>
        </w:rPr>
      </w:pPr>
    </w:p>
    <w:p>
      <w:pPr>
        <w:ind w:left="1160" w:right="1219" w:firstLine="258"/>
        <w:spacing w:after="0" w:line="225" w:lineRule="auto"/>
        <w:rPr>
          <w:sz w:val="20"/>
          <w:szCs w:val="20"/>
          <w:color w:val="auto"/>
        </w:rPr>
      </w:pPr>
      <w:r>
        <w:rPr>
          <w:rFonts w:ascii="Times New Roman" w:cs="Times New Roman" w:eastAsia="Times New Roman" w:hAnsi="Times New Roman"/>
          <w:sz w:val="14"/>
          <w:szCs w:val="14"/>
          <w:color w:val="auto"/>
        </w:rPr>
        <w:t>The Company obtains the right to conduct geothermal development and operations on land owned by the Bureau of Land Management (“BLM”), various states or with private parties. The annual land lease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-161925</wp:posOffset>
            </wp:positionV>
            <wp:extent cx="716026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719"/>
        <w:spacing w:after="0" w:line="272" w:lineRule="auto"/>
        <w:rPr>
          <w:sz w:val="20"/>
          <w:szCs w:val="20"/>
          <w:color w:val="auto"/>
        </w:rPr>
      </w:pPr>
      <w:r>
        <w:rPr>
          <w:rFonts w:ascii="Times New Roman" w:cs="Times New Roman" w:eastAsia="Times New Roman" w:hAnsi="Times New Roman"/>
          <w:sz w:val="14"/>
          <w:szCs w:val="14"/>
          <w:color w:val="auto"/>
        </w:rPr>
        <w:t>during the exploration, development and construction phase are reflected as operating lease expenses in the Consolidated Statements of Operations.</w:t>
      </w:r>
    </w:p>
    <w:p>
      <w:pPr>
        <w:spacing w:after="0" w:line="9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Following the acquisition of land rights to the potential geothermal resource, the Company conducts further studies and surveys, including water and soil analyses, among others. The Company then initiates a suite of geophysical surveys to assess the resource and determine drilling locations. If the results of these activities support the initial assessment of the feasibility of the geothermal resource, the Company then proceeds to exploratory drilling and other related activities which may include drilling of temperature gradient holes, drilling of slim holes, building access roads to drilling locations, drilling full size production and/or injection wells and flow tests. Costs associated with these activities and other directly attributable costs, including permitting costs, are capitalized. If the Company concludes that a geothermal resource will not support commercial operations, capitalized costs are expensed in the period such determination is made.</w:t>
      </w:r>
    </w:p>
    <w:p>
      <w:pPr>
        <w:spacing w:after="0" w:line="106"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All exploration and development costs that are being capitalized will be depreciated over their estimated useful lives when the related geothermal well is substantially complete and ready for use. A geothermal well is substantially complete and ready for use when electricity generation commences.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Construction-in-process represents the capitalized costs related to power plants. All costs associated with the acquisition, development and construction of power plants are capitalized. Major improvements will be capitalized and repairs and maintenance will be expensed. Property, plant and equipment for power plants will be stated at cost, net of accumulated depreciation.</w:t>
      </w:r>
    </w:p>
    <w:p>
      <w:pPr>
        <w:spacing w:after="0" w:line="97"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Other property, plant and equipment, net included within other long-term assets was $3.7 million and $0.8 million as of December 31, 2025 and 2024 , respectively, and consist of leasehold improvements, equipment, and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office equipment and furniture. Other property, plant and equipment are depreciated using the straight-line method over the following estimated useful lives of the assets: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7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Useful lives</w:t>
            </w:r>
          </w:p>
        </w:tc>
      </w:tr>
      <w:tr>
        <w:trPr>
          <w:trHeight w:val="18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Leaseholdimprovements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years</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Office equipment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92"/>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Office furniture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years</w:t>
            </w:r>
          </w:p>
        </w:tc>
      </w:tr>
    </w:tbl>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Capitalized Interest Costs</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Interest incurred during the construction period of certain property, plant and equipment is capitalized until the underlying assets are placed in service, at which time amortization of the capitalized interest begins, straight-line, over the estimated useful lives of the related assets. Capitalized interest was $8.5 million and $0.9 million for the years ended December 31, 2025 and 2024, respectively.</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 xml:space="preserve">The Company accounts for asset retirement obligations (“ARO”) in accordance with Accounting Standards Codification (“ASC”) 410-20, </w:t>
      </w:r>
      <w:r>
        <w:rPr>
          <w:rFonts w:ascii="Times New Roman" w:cs="Times New Roman" w:eastAsia="Times New Roman" w:hAnsi="Times New Roman"/>
          <w:sz w:val="14"/>
          <w:szCs w:val="14"/>
          <w:i w:val="1"/>
          <w:iCs w:val="1"/>
          <w:color w:val="auto"/>
        </w:rPr>
        <w:t>Asset Retirement and Environmental Obligations</w:t>
      </w:r>
      <w:r>
        <w:rPr>
          <w:rFonts w:ascii="Times New Roman" w:cs="Times New Roman" w:eastAsia="Times New Roman" w:hAnsi="Times New Roman"/>
          <w:sz w:val="14"/>
          <w:szCs w:val="14"/>
          <w:color w:val="auto"/>
        </w:rPr>
        <w:t xml:space="preserve"> . The Company’s AROs primarily relate to the future costs of plugging and abandoning geothermal wells and restoring the land to its original condition as required by applicable laws and regulations.</w:t>
      </w:r>
    </w:p>
    <w:p>
      <w:pPr>
        <w:spacing w:after="0" w:line="9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Company recognizes the fair value of a liability for an ARO in the period in which it is incurred, if a reasonable estimate of fair value can be made. The ARO liability represents the present value of the estimated future costs to retire the asset, discounted using the Company’s credit-adjusted risk-free rate at the time the obligation is incurred.</w:t>
      </w:r>
    </w:p>
    <w:p>
      <w:pPr>
        <w:spacing w:after="0" w:line="97"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A corresponding amount equal to the ARO liability is capitalized as part of the carrying amount of the related long-lived asset and depreciated on a straight-line basis over the useful life of the asset. The ARO liability is accreted each period to reflect the passage of time, with accretion expense recognized as a component of operating expense. The ARO liability is included within Other long-term liabilities on the Consolidated Balance Sheets.</w:t>
      </w:r>
    </w:p>
    <w:p>
      <w:pPr>
        <w:spacing w:after="0" w:line="97"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Revisions to estimated future cash flows or timing are recognized as increases or decreases to both the ARO liability and the related asset. The costs are ultimately settled when the wells and facilities are plugged, dismantled, and the site is restored in accordance with regulatory requirements.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evaluates long-lived assets, such as construction-in-process and right-of-use (“ROU”) assets for impairment whenever events or changes in circumstances indicate that the carrying amount of an asset may not be recoverable. Factors which could trigger an impairment include, a significant decrease in the market price, a change in the extent or manner in which a long-lived asset is being used or in its physical condition, adverse change in legal factors or in the business climate, significant increase in costs necessary to complete a project, current period operating or cash flow loss combined with a history of operating or cash flow losses, or when it concludes that it is more likely than not that an asset will be disposed of or sold. No impairment of long-lived assets was recorded during the years ended December 31, 2025 and 2024.</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Company determines if an arrangement contains a lease at inception. Operating leases are recorded on the Consolidated Balance Sheets as ROU assets and lease liabilities. Lease liabilities are measured at the present value of the remaining lease payments, discounted using the Company’s IBR at lease commencement, unless the rate implicit in the lease is readily determinable.</w:t>
      </w:r>
    </w:p>
    <w:p>
      <w:pPr>
        <w:sectPr>
          <w:pgSz w:w="11900" w:h="16885"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ectPr>
          <w:pgSz w:w="11900" w:h="16885" w:orient="portrait"/>
          <w:cols w:equalWidth="0" w:num="1">
            <w:col w:w="9019"/>
          </w:cols>
          <w:pgMar w:left="1440" w:top="94" w:right="1440" w:bottom="0" w:gutter="0" w:footer="0" w:header="0"/>
          <w:type w:val="continuous"/>
        </w:sectPr>
      </w:pPr>
    </w:p>
    <w:bookmarkStart w:id="149" w:name="page150"/>
    <w:bookmarkEnd w:id="14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ROU assets are initially measured based on the lease liability, adjusted for any prepaid or upfront bonus payments, lease incentives received, and initial direct costs incurred. In the initial measurement, the Company recognizes payments associated with renewal options when it is reasonably certain that the Company will exercise that option. Lease expenses for operating leases are recognized on a straight-line basis over the lease term.</w:t>
      </w:r>
    </w:p>
    <w:p>
      <w:pPr>
        <w:spacing w:after="0" w:line="97"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Certain of the Company’s geothermal leases require production-based royalty payments, which may be calculated as a percentage of the gross proceeds earned by the Company over the lease term. Royalty rates vary based on several factors, including the type of lessor (e.g., federal, state or private) and the progression of the lease term. These royalty payments are considered variable lease payments that do not depend on an index or a rate. Accordingly, they are excluded from the initial measurement of the lease liability and are recognized as a variable lease expense as incurred.</w:t>
      </w:r>
    </w:p>
    <w:p>
      <w:pPr>
        <w:spacing w:after="0" w:line="101"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The Company elected the practical expedient to not separate lease and non-lease components for all classes of underlying assets. Additionally, the Company has elected not to recognize leases with an original term of 12 months or less on the Consolidated Balance Sheets.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44" w:lineRule="exact"/>
        <w:rPr>
          <w:sz w:val="20"/>
          <w:szCs w:val="20"/>
          <w:color w:val="auto"/>
        </w:rPr>
      </w:pPr>
    </w:p>
    <w:p>
      <w:pPr>
        <w:jc w:val="both"/>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Research and development costs incurred by the Company for the development of existing and new geothermal and related technologies are expensed as incurred. Gross research and development expense totaled less than $0.1 million and $2.6 million for the years ended December 31, 2025 and 2024, respectively. The 2025 expense primarily related to the Direct Air Capture (“DAC”) Hub, while the 2024 expense was primarily associated with Project Red, a commercial pilot developed in partnership with NGP Blue Mountain I, LLC (“NGP”).</w:t>
      </w:r>
    </w:p>
    <w:p>
      <w:pPr>
        <w:spacing w:after="0" w:line="99"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Per the agreement, the Company provided the design, engineering, construction and installation of its proprietary geothermal well and reservoir engineering solutions (the “System”). In November 2023, the System began flowing commercial quantities of geothermal energy to NGP during the Initial Production period and the Commercial Operation date was declared on April 30, 2024. Upon achieving commercial operation, the Company began providing non-routine maintenance of the System.</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Stock-based compensation expense related to stock-based awards is recognized based on the fair value of the awards granted. The fair value of each stock option award is estimated on the grant date utilizing the Black-Scholes option-pricing model. The stock options issued are equity classified. The related stock-based compensation expense is recognized on a straight-line basis over the requisite service period of the awards, and there are no additional conditions for vesting other than service conditions. Forfeitures are accounted for as they occur.</w:t>
      </w:r>
    </w:p>
    <w:p>
      <w:pPr>
        <w:spacing w:after="0" w:line="99"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The Black-Scholes option-pricing model requires the input of highly subjective assumptions, including the fair value of the underlying common stock, the expected term of the stock option, the expected volatility of the price of the Company’s common stock, risk-free interest rates, and the expected dividend yield of common stock. The assumptions used to determine the fair value of the option awards represent management’s best estimates. These estimates involve inherent uncertainties and the application of management’s judgment.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144"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Company follows the two-class method when computing net income (loss) per share. The two-class method requires income available to common shareholders for the period to be allocated between common and participating securities based upon their respective rights to receive distributions as if all income for the period had been distributed. Preferred shares are participating securities because they are entitled to undistributed earnings based on the liquidation preferences. Preferred shares do not have the contractual obligation to share in the losses of the Company on a basis that is objectively determinable. Therefore, they are excluded from the allocation of undistributed losses in determining net loss per share.</w:t>
      </w:r>
    </w:p>
    <w:p>
      <w:pPr>
        <w:spacing w:after="0" w:line="10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Basic net income (loss) per share is computed by dividing the net income (loss) attributable to the common shareholders by the weighted average number of common shares outstanding during the period. Diluted net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(loss) is computed by adjusting net income (loss) to reallocate undistributed earnings based on the potential impact of dilutive securities. Diluted net income (loss) per share is computed by dividing the diluted net income (loss) by the weighted average number of common shares outstanding during the period, including potential dilutive common shares assuming the dilutive effect of common shares equivalents.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fair value measurement guidance clarifies that fair value represents the amount that would be received upon selling an asset or paid upon transferring a liability in an orderly transaction between market participants at the measurement date. As such, fair value is a market-based measurement that should be determined based on assumptions that market participants would use in pricing an asset or liability. The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the fair value measurement guidance are described below:</w:t>
      </w:r>
    </w:p>
    <w:p>
      <w:pPr>
        <w:spacing w:after="0" w:line="101" w:lineRule="exact"/>
        <w:rPr>
          <w:sz w:val="20"/>
          <w:szCs w:val="20"/>
          <w:color w:val="auto"/>
        </w:rPr>
      </w:pPr>
    </w:p>
    <w:p>
      <w:pPr>
        <w:ind w:left="1660" w:right="1499" w:hanging="257"/>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unadjusted observable inputs that reflect quoted prices for identical assets or liabilities in active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w:t>
      </w:r>
    </w:p>
    <w:p>
      <w:pPr>
        <w:spacing w:after="0" w:line="77" w:lineRule="exact"/>
        <w:rPr>
          <w:sz w:val="20"/>
          <w:szCs w:val="20"/>
          <w:color w:val="auto"/>
        </w:rPr>
      </w:pPr>
    </w:p>
    <w:p>
      <w:pPr>
        <w:ind w:left="1660" w:right="1219" w:hanging="257"/>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other than quoted prices included in Level 1 that are observable for the asset or liability either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or indirectly;</w:t>
      </w:r>
    </w:p>
    <w:p>
      <w:pPr>
        <w:sectPr>
          <w:pgSz w:w="11900" w:h="16978" w:orient="portrait"/>
          <w:cols w:equalWidth="0" w:num="1">
            <w:col w:w="9019"/>
          </w:cols>
          <w:pgMar w:left="1440" w:top="984" w:right="1440" w:bottom="0" w:gutter="0" w:footer="0" w:header="0"/>
        </w:sectPr>
      </w:pPr>
    </w:p>
    <w:bookmarkStart w:id="150" w:name="page151"/>
    <w:bookmarkEnd w:id="150"/>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carrying value of the Company’s cash and cash equivalents, grants receivable, prepaid expenses and other, accounts payable, accrued capital expenditures, operating lease liabilities and other current liabilities reported on the Consolidated Balance Sheets approximate fair value due to the short-term nature of the instruments. The Company’s preferred stock warrants (“Warrants”) are measured at fair value on a recurring basis and are classified within Level 3 of the fair value hierarchy due to the use of significant unobservable inputs in the valuation model. The carrying value of non-financial assets, such as construction-in-progress, is adjusted to fair value on a non-recurring basis when they are impaired. During the years ended December 31, 2025 and 2024 , there were no transfers between the fair value hierarchy levels.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files a corporate income tax return. Deferred taxes are provided on a liability method whereby deferred tax assets are recognized for deductible temporary differences and operating losses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Company reviews its tax benefits claimed or expected to be claimed on its tax return for uncertainty. The Company recognizes a tax benefit from an uncertain tax position only if it is “more likely than not” that the tax position will be sustained on examination by taxing authorities, based on the technical merits of the position. The tax benefits recognized in the consolidated financial statements from such a position are measured based on the largest benefit that has a greater than 50 percent likelihood of being realized upon ultimate settlement.</w:t>
      </w:r>
    </w:p>
    <w:p>
      <w:pPr>
        <w:spacing w:after="0" w:line="9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The Company has historically and continues to incur research and development costs. These costs have historically been capitalized and amortized for tax purposes according to Section 174 beginning in tax year 2022 to 2024. Beginning in 2025, the Company can either expense immediately research and development costs incurred in the United States or capitalize and amortize over a period of fifteen years after the passage of the One Big Beautiful Bill (“OBBB”). In addition, the Company is still considered to be in a start-up phase. Startup costs are capitalized and amortized over a period of 15 years in accordance with Section 195.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Government Grants</w:t>
      </w:r>
    </w:p>
    <w:p>
      <w:pPr>
        <w:spacing w:after="0" w:line="144"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Company receives funding from the DOE, primarily through cost-share cooperative agreements, research grants, and development contracts that support the advancement of enhanced geothermal system (“EGS”) technologies and related infrastructure.</w:t>
      </w:r>
    </w:p>
    <w:p>
      <w:pPr>
        <w:spacing w:after="0" w:line="93"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Company recognizes grant proceeds when the qualifying expenditures or performance conditions specified in the grant agreement have been incurred. Grant receivables are recorded when the Company has satisfied the applicable grant conditions and management determines that collection from the granting agency is probable based on the executed agreement and the Company’s compliance with the grant requirements.</w:t>
      </w:r>
    </w:p>
    <w:p>
      <w:pPr>
        <w:spacing w:after="0" w:line="97"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Reimbursement-type awards (DOE cost-share agreements) are recognized on a systematic basis over the periods in which the related qualifying expenditures are incurred. Grant proceeds that offset capitalized project costs are recorded as a reduction of the construction-in-process on the Consolidated Balance Sheets. Grant proceeds related to research and development offset the research and development costs in the Consolidated Statements of Operations.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Debt issuance costs for term loans are presented as a direct deduction from the carrying amount of the related debt and are amortized over the life of the respective borrowing in the Consolidated Statements of Operations in interest expense. As of December 31, 2025 and 2024 , the Company had $2.8 million and $1.6 million, respectively, in unamortized debt issuance costs.</w:t>
      </w:r>
    </w:p>
    <w:p>
      <w:pPr>
        <w:spacing w:after="0" w:line="97"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Debt issuance costs for credit facility agreements are treated as an asset and amortized over the term of the loan in the Consolidated Statements of Operations in interest expense. As of December 31, 2025 and 2024 , the Company had $2.3 million and $2.1 million, respectively, in unamortized debt issuance costs.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Power Purchase Agreements</w:t>
      </w:r>
    </w:p>
    <w:p>
      <w:pPr>
        <w:spacing w:after="0" w:line="14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Company’s business model focuses on developing, constructing, and operating geothermal power generation facilities that provide fixed-price, clean baseload electricity to utilities and other creditworthy off-takers. The Company expects to generate revenue primarily from the sale of bundled capacity, power, and related attributes under long-term Power Purchase Agreements (“PPA”). Pricing under these PPAs is generally fixed for the duration of the contract, although some of the Company’s PPAs may have price escalators based on an index or other rates specified in the applicable PPA. The Company’s current PPAs have an initial term of 15 years. The Company’s PPAs are expected to go into effect starting in 2026.</w:t>
      </w:r>
    </w:p>
    <w:p>
      <w:pPr>
        <w:spacing w:after="0" w:line="101" w:lineRule="exact"/>
        <w:rPr>
          <w:sz w:val="20"/>
          <w:szCs w:val="20"/>
          <w:color w:val="auto"/>
        </w:rPr>
      </w:pPr>
    </w:p>
    <w:p>
      <w:pPr>
        <w:ind w:left="1160" w:right="1299" w:firstLine="258"/>
        <w:spacing w:after="0" w:line="266" w:lineRule="auto"/>
        <w:rPr>
          <w:sz w:val="20"/>
          <w:szCs w:val="20"/>
          <w:color w:val="auto"/>
        </w:rPr>
      </w:pPr>
      <w:r>
        <w:rPr>
          <w:rFonts w:ascii="Times New Roman" w:cs="Times New Roman" w:eastAsia="Times New Roman" w:hAnsi="Times New Roman"/>
          <w:sz w:val="14"/>
          <w:szCs w:val="14"/>
          <w:color w:val="auto"/>
        </w:rPr>
        <w:t>The current portfolio of PPAs is associated with two separate facilities: a geothermal project located in Beaver County, Utah, and a geothermal project located in Churchill County, Nevada. These facilities are part of larger</w:t>
      </w:r>
    </w:p>
    <w:p>
      <w:pPr>
        <w:spacing w:after="0" w:line="1" w:lineRule="exact"/>
        <w:rPr>
          <w:sz w:val="20"/>
          <w:szCs w:val="20"/>
          <w:color w:val="auto"/>
        </w:rPr>
      </w:pPr>
    </w:p>
    <w:p>
      <w:pPr>
        <w:ind w:left="1160" w:right="1199"/>
        <w:spacing w:after="0" w:line="264" w:lineRule="auto"/>
        <w:rPr>
          <w:sz w:val="20"/>
          <w:szCs w:val="20"/>
          <w:color w:val="auto"/>
        </w:rPr>
      </w:pPr>
      <w:r>
        <w:rPr>
          <w:rFonts w:ascii="Times New Roman" w:cs="Times New Roman" w:eastAsia="Times New Roman" w:hAnsi="Times New Roman"/>
          <w:sz w:val="14"/>
          <w:szCs w:val="14"/>
          <w:color w:val="auto"/>
        </w:rPr>
        <w:t xml:space="preserve">geothermal developments and may be expanded over time. </w:t>
      </w:r>
      <w:r>
        <w:rPr>
          <w:rFonts w:ascii="Times New Roman" w:cs="Times New Roman" w:eastAsia="Times New Roman" w:hAnsi="Times New Roman"/>
          <w:sz w:val="14"/>
          <w:szCs w:val="14"/>
          <w:color w:val="auto"/>
          <w:highlight w:val="white"/>
        </w:rPr>
        <w:t>The</w:t>
      </w:r>
      <w:r>
        <w:rPr>
          <w:rFonts w:ascii="Times New Roman" w:cs="Times New Roman" w:eastAsia="Times New Roman" w:hAnsi="Times New Roman"/>
          <w:sz w:val="14"/>
          <w:szCs w:val="14"/>
          <w:color w:val="auto"/>
        </w:rPr>
        <w:t xml:space="preserve"> current facilities are both integrated into the California Independent System Operator (“CAISO”) grid network via Dynamic Resource-Specific System Resource designations. The Company will manage energy scheduling and CAISO market participation.</w:t>
      </w:r>
    </w:p>
    <w:p>
      <w:pPr>
        <w:spacing w:after="0" w:line="97"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 xml:space="preserve">Management assesses each PPA for the existence of leases under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If a PPA is or contains a lease, it will be accounted for under ASC 842. If not a lease, Management assesses each PPA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If a PPA is or contains a derivative, it will be accounted for under ASC 815. If a PPA is neither a lease nor a derivative, Management will account for the contract as a contract with a customer under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No PPAs have been determined to be or contain a lease. While PPAs may meet the definition of a derivative under ASC 815, the Company has elected to apply the Normal Purchase Normal Sale scope exception to the power sales given that they represent sales of power made in the ordinary course of business. Therefore, the PPAs are accounted for as executory contracts and will be recognized under ASC 606 at the point in time sales commence.</w:t>
      </w:r>
    </w:p>
    <w:p>
      <w:pPr>
        <w:sectPr>
          <w:pgSz w:w="11900" w:h="16923" w:orient="portrait"/>
          <w:cols w:equalWidth="0" w:num="1">
            <w:col w:w="9019"/>
          </w:cols>
          <w:pgMar w:left="1440" w:top="284" w:right="1440" w:bottom="0" w:gutter="0" w:footer="0" w:header="0"/>
        </w:sectPr>
      </w:pPr>
    </w:p>
    <w:bookmarkStart w:id="151" w:name="page152"/>
    <w:bookmarkEnd w:id="151"/>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44"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During the years ended December 31, 2025 and 2024 , revenue includes ancillary fees associated with rights to geothermal production. These revenues are recognized as performance obligations are met. These revenues are not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359"/>
        <w:spacing w:after="0" w:line="274" w:lineRule="auto"/>
        <w:rPr>
          <w:sz w:val="20"/>
          <w:szCs w:val="20"/>
          <w:color w:val="auto"/>
        </w:rPr>
      </w:pPr>
      <w:r>
        <w:rPr>
          <w:rFonts w:ascii="Times New Roman" w:cs="Times New Roman" w:eastAsia="Times New Roman" w:hAnsi="Times New Roman"/>
          <w:sz w:val="14"/>
          <w:szCs w:val="14"/>
          <w:color w:val="auto"/>
        </w:rPr>
        <w:t>material to the consolidated financial statements . The Company has not yet commenced large-scale commercial electricity generation, and the Company has not generated revenue from utility-scale geothermal power sales or PPAs during the periods presented.</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 xml:space="preserve">The Company evaluates its involvement with legal entities to determine whether they are VIEs under ASC 810, </w:t>
      </w:r>
      <w:r>
        <w:rPr>
          <w:rFonts w:ascii="Times New Roman" w:cs="Times New Roman" w:eastAsia="Times New Roman" w:hAnsi="Times New Roman"/>
          <w:sz w:val="14"/>
          <w:szCs w:val="14"/>
          <w:i w:val="1"/>
          <w:iCs w:val="1"/>
          <w:color w:val="auto"/>
        </w:rPr>
        <w:t xml:space="preserve">Consolidation </w:t>
      </w:r>
      <w:r>
        <w:rPr>
          <w:rFonts w:ascii="Times New Roman" w:cs="Times New Roman" w:eastAsia="Times New Roman" w:hAnsi="Times New Roman"/>
          <w:sz w:val="14"/>
          <w:szCs w:val="14"/>
          <w:color w:val="auto"/>
        </w:rPr>
        <w:t>(“ASC 810”). An entity is a VIE when it lacks sufficient equity at risk or when the equity holders lack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characteristics of a controlling financial interest. When the Company has a variable interest in a VIE, it assesses whether it is the primary beneficiary, which requires both (i) the power to direct the activities that most significantly affect the VIE’s economic performance and (ii) the obligation to absorb losses or the right to receive benefits that could be significant.</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Determining whether the Company is the primary beneficiary requires judgment and may change as arrangements evolve. The Company performs an ongoing reassessment of its variable interests and primary beneficiary status whenever reconsideration events occur, including changes in ownership, governance, contractual arrangements, financing structures, or other relevant facts and circumstances.</w:t>
      </w:r>
    </w:p>
    <w:p>
      <w:pPr>
        <w:spacing w:after="0" w:line="66" w:lineRule="exact"/>
        <w:rPr>
          <w:sz w:val="20"/>
          <w:szCs w:val="20"/>
          <w:color w:val="auto"/>
        </w:rPr>
      </w:pPr>
    </w:p>
    <w:p>
      <w:pPr>
        <w:ind w:left="1160" w:right="1179" w:firstLine="258"/>
        <w:spacing w:after="0" w:line="178" w:lineRule="exact"/>
        <w:rPr>
          <w:sz w:val="20"/>
          <w:szCs w:val="20"/>
          <w:color w:val="auto"/>
        </w:rPr>
      </w:pPr>
      <w:r>
        <w:rPr>
          <w:rFonts w:ascii="Times New Roman" w:cs="Times New Roman" w:eastAsia="Times New Roman" w:hAnsi="Times New Roman"/>
          <w:sz w:val="14"/>
          <w:szCs w:val="14"/>
          <w:color w:val="auto"/>
        </w:rPr>
        <w:t>As part of its geothermal development activities, the Company may enter into project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entities, financing structures, or partnership arrangements that give rise to variable interests. Where the Company is the primary beneficiary, the VIE is consolidated and its assets, liabilities, and results are included in the consolidated financial statements; noncontrolling interest may be recorded if the Company does not own 100% of the outstanding equity of the VIE. Where the Company is not the primary beneficiary, its interests are accounted for under the equity method or other applicable guidance, and the Company’s exposure to loss is limited to its investment and any contractual support. As of December 31, 2025, all VIEs are consolidated by the Company.</w:t>
      </w:r>
    </w:p>
    <w:p>
      <w:pPr>
        <w:spacing w:after="0" w:line="1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Warrants Liability</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determines the accounting classification of warrants it issues as either liability or equity classified</w:t>
      </w:r>
    </w:p>
    <w:p>
      <w:pPr>
        <w:spacing w:after="0" w:line="25" w:lineRule="exact"/>
        <w:rPr>
          <w:sz w:val="20"/>
          <w:szCs w:val="20"/>
          <w:color w:val="auto"/>
        </w:rPr>
      </w:pPr>
    </w:p>
    <w:p>
      <w:pPr>
        <w:ind w:left="1160" w:right="1159"/>
        <w:spacing w:after="0" w:line="256" w:lineRule="auto"/>
        <w:rPr>
          <w:sz w:val="20"/>
          <w:szCs w:val="20"/>
          <w:color w:val="auto"/>
        </w:rPr>
      </w:pPr>
      <w:r>
        <w:rPr>
          <w:rFonts w:ascii="Times New Roman" w:cs="Times New Roman" w:eastAsia="Times New Roman" w:hAnsi="Times New Roman"/>
          <w:sz w:val="14"/>
          <w:szCs w:val="14"/>
          <w:color w:val="auto"/>
        </w:rPr>
        <w:t xml:space="preserve">by first assessing whether the warrants meet liability classification in accordance with ASC 480, </w:t>
      </w:r>
      <w:r>
        <w:rPr>
          <w:rFonts w:ascii="Times New Roman" w:cs="Times New Roman" w:eastAsia="Times New Roman" w:hAnsi="Times New Roman"/>
          <w:sz w:val="14"/>
          <w:szCs w:val="14"/>
          <w:i w:val="1"/>
          <w:iCs w:val="1"/>
          <w:color w:val="auto"/>
        </w:rPr>
        <w:t>Distinguishing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Liabilities from Equity </w:t>
      </w:r>
      <w:r>
        <w:rPr>
          <w:rFonts w:ascii="Times New Roman" w:cs="Times New Roman" w:eastAsia="Times New Roman" w:hAnsi="Times New Roman"/>
          <w:sz w:val="14"/>
          <w:szCs w:val="14"/>
          <w:color w:val="auto"/>
        </w:rPr>
        <w:t>(“ASC 480”), then in accordance with ASC 815. Under ASC 480, warrants are considered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classified if the warrants are mandatorily redeemable, obligate the Company to settle the warrants or the underlying shares by paying cash or other assets, or warrants that must or may require settlement by issuing variable number of shares. 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and in order to conclude equity classification, the Company also assesses whether the warrants are indexed to its common stock and whether the warrants are classified as equity under ASC 815 or other applicable GAAP. After all relevant assessments, the Company concludes whether the warrants are classified as liability or equity. Liability classified warrants require fair value accounting at issuance and subsequent to initial issuance with all changes in fair value</w:t>
      </w:r>
    </w:p>
    <w:p>
      <w:pPr>
        <w:spacing w:after="0" w:line="1" w:lineRule="exact"/>
        <w:rPr>
          <w:sz w:val="20"/>
          <w:szCs w:val="20"/>
          <w:color w:val="auto"/>
        </w:rPr>
      </w:pPr>
    </w:p>
    <w:p>
      <w:pPr>
        <w:ind w:left="1160" w:right="1279"/>
        <w:spacing w:after="0" w:line="256" w:lineRule="auto"/>
        <w:rPr>
          <w:sz w:val="20"/>
          <w:szCs w:val="20"/>
          <w:color w:val="auto"/>
        </w:rPr>
      </w:pPr>
      <w:r>
        <w:rPr>
          <w:rFonts w:ascii="Times New Roman" w:cs="Times New Roman" w:eastAsia="Times New Roman" w:hAnsi="Times New Roman"/>
          <w:sz w:val="14"/>
          <w:szCs w:val="14"/>
          <w:color w:val="auto"/>
        </w:rPr>
        <w:t>after the issuance date recorded in the Consolidated Statements of Operations . Liability classified warrants are included within Other long-term liabilities on the Consolidated Balance Sheets . Equity classified warrants only</w:t>
      </w:r>
    </w:p>
    <w:p>
      <w:pPr>
        <w:ind w:left="1160" w:right="1219"/>
        <w:spacing w:after="0" w:line="272" w:lineRule="auto"/>
        <w:rPr>
          <w:sz w:val="20"/>
          <w:szCs w:val="20"/>
          <w:color w:val="auto"/>
        </w:rPr>
      </w:pPr>
      <w:r>
        <w:rPr>
          <w:rFonts w:ascii="Times New Roman" w:cs="Times New Roman" w:eastAsia="Times New Roman" w:hAnsi="Times New Roman"/>
          <w:sz w:val="14"/>
          <w:szCs w:val="14"/>
          <w:color w:val="auto"/>
        </w:rPr>
        <w:t>require fair value accounting at issuance with no changes recognized subsequent to the issuance date. The Company does not currently have any equity classified warrants.</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The Company continuously monitors and evaluates new accounting pronouncements issued by the Financial Accounting Standards Board to determine their potential impact on the Company’s consolidated financial statements and related disclosures, with particular focus on standards that may affect the Company’s unique geothermal development activities, long-term asset accounting, and revenue recognition as it scales its commercial operations. As of December 31, 2025 and 2024 , the Company evaluated several recently issued accounting standards, including the following that may have implications on its financial reporting, as discussed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The Company is an emerging growth company (“EGC”) as defined in the Jumpstart Our Business Startups Act of 2012 (“JOBS Act”). As an EGC, the Company has elected to use the extended transition period for adopting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while also maintaining the ability to early adopt certain accounting pronouncements.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Accounting Standards Recently Implemented</w:t>
      </w:r>
    </w:p>
    <w:p>
      <w:pPr>
        <w:spacing w:after="0" w:line="14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In December 2023, the Financial Accounting Standards Board (“FASB”) issued ASU 2023-09, Income Taxes (Topic 740), “Improvements to Income Tax Disclosures,”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w:t>
      </w:r>
    </w:p>
    <w:p>
      <w:pPr>
        <w:sectPr>
          <w:pgSz w:w="11900" w:h="16938" w:orient="portrait"/>
          <w:cols w:equalWidth="0" w:num="1">
            <w:col w:w="9019"/>
          </w:cols>
          <w:pgMar w:left="1440" w:top="250" w:right="1440" w:bottom="0" w:gutter="0" w:footer="0" w:header="0"/>
        </w:sectPr>
      </w:pPr>
    </w:p>
    <w:bookmarkStart w:id="152" w:name="page153"/>
    <w:bookmarkEnd w:id="152"/>
    <w:p>
      <w:pPr>
        <w:spacing w:after="0" w:line="29" w:lineRule="exact"/>
        <w:rPr>
          <w:sz w:val="20"/>
          <w:szCs w:val="20"/>
          <w:color w:val="auto"/>
        </w:rPr>
      </w:pPr>
    </w:p>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further disaggregate income taxes paid. The standard is intended to benefit stockholders by providing more detailed income tax disclosures that would be useful in making capital allocation decisions. The guidance applies to all entities subject to income taxes and is effective for annual periods beginning after December 15, 2024. The guidance will be applied on a prospective basis with the option to apply the standard retrospectively. Early adoption is permitted. The Company adopted this standard on a prospective basis for the year ended December 31, 2025. See Note 18 – Income Taxes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-669290</wp:posOffset>
            </wp:positionV>
            <wp:extent cx="716026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ASU 2023-07, Segment Reporting (Topic 280), “Improvements to Reportable Segment Disclosures,” which requires disclosure of significant segment expenses regularly provided to the chief operating decision maker (“CODM”) and included within each reported measure of segment profit or loss. All disclosure requirements in this standard are required for entities with a single reportable segment. The standard is effective for fiscal years beginning after December 15, 2023, and interim periods within fiscal years beginning after December 15, 2024. Early adoption is permitted. The amendments should be applied on a retrospective basis to all periods presented. The Company adopted the standard in the year ended December 31, 2024 . The adoption of ASU 2023-07 resulted in an additional segment reporting disclosure in the Company’s consolidated financial statements, with no impact to the Company’s financial position or results of operations. See Note 15 – Segment Information for additional information.</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Accounting Standards to be Implemented</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In December 2025, the FASB issued ASU 2025-11, “Interim Reporting (Topic 270) Narrow-Scope Improvements”, which clarifies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reporting periods within annual reporting periods beginning after December 15, 2027. Early adoption is permitted. The Company is evaluating the impact of this guidance on its consolidated financial statements and related disclosures.</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In December 2025, the FASB issued ASU 2025-10, “Government Grants (Topic 832): Accounting for Government Grants Received by Business Entities”, which establishes authoritative guidance on the accounting for government grants received by business entities. This update will be effective for annual reporting periods beginning after December 15, 2028, and interim reporting periods within those annual reporting periods. Early adoption</w:t>
      </w:r>
    </w:p>
    <w:p>
      <w:pPr>
        <w:spacing w:after="0" w:line="1" w:lineRule="exact"/>
        <w:rPr>
          <w:sz w:val="20"/>
          <w:szCs w:val="20"/>
          <w:color w:val="auto"/>
        </w:rPr>
      </w:pPr>
    </w:p>
    <w:p>
      <w:pPr>
        <w:ind w:left="1160" w:right="1199"/>
        <w:spacing w:after="0" w:line="272" w:lineRule="auto"/>
        <w:rPr>
          <w:sz w:val="20"/>
          <w:szCs w:val="20"/>
          <w:color w:val="auto"/>
        </w:rPr>
      </w:pPr>
      <w:r>
        <w:rPr>
          <w:rFonts w:ascii="Times New Roman" w:cs="Times New Roman" w:eastAsia="Times New Roman" w:hAnsi="Times New Roman"/>
          <w:sz w:val="14"/>
          <w:szCs w:val="14"/>
          <w:color w:val="auto"/>
        </w:rPr>
        <w:t>permitted. The Company is evaluating the impact of this guidance on its consolidated financial statements and related disclosures.</w:t>
      </w:r>
    </w:p>
    <w:p>
      <w:pPr>
        <w:spacing w:after="0" w:line="9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Expense Disaggregation Disclosures (Subtopic 220-40): Disaggregation of Income Statement Expenses”, which requires disclosure of additional information about certain income statement expense categories. The new standard should be applied prospectively with retrospective application and early adoption permitted. In January 2025, the FASB issued ASU 2025-01, “Income Statement - Reporting Comprehensive Income - Expense Disaggregation Disclosures (Subtopic 220-40).” This update amends the effective date of ASU 2024-03 to clarify that all public business entities are required to adopt the guidance in annual reporting periods beginning after December 15, 2026,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and interim periods within annual reporting periods beginning after December 15, 2027. The Company is evaluating the impact of this guidance on its consolidated financial statements and related disclosures.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Recent Legislation Matters</w:t>
      </w:r>
    </w:p>
    <w:p>
      <w:pPr>
        <w:spacing w:after="0" w:line="142" w:lineRule="exact"/>
        <w:rPr>
          <w:sz w:val="20"/>
          <w:szCs w:val="20"/>
          <w:color w:val="auto"/>
        </w:rPr>
      </w:pPr>
    </w:p>
    <w:p>
      <w:pPr>
        <w:ind w:left="1160" w:right="1319" w:firstLine="258"/>
        <w:spacing w:after="0" w:line="260" w:lineRule="auto"/>
        <w:rPr>
          <w:sz w:val="20"/>
          <w:szCs w:val="20"/>
          <w:color w:val="auto"/>
        </w:rPr>
      </w:pPr>
      <w:r>
        <w:rPr>
          <w:rFonts w:ascii="Times New Roman" w:cs="Times New Roman" w:eastAsia="Times New Roman" w:hAnsi="Times New Roman"/>
          <w:sz w:val="14"/>
          <w:szCs w:val="14"/>
          <w:color w:val="auto"/>
        </w:rPr>
        <w:t>On July 4, 2025, the OBBB was signed into law, repealing and phasing out certain energy tax credits from the Inflation Reduction Act of 2022 (“IRA”). The OBBB modifies the qualifications for Production Tax Credits (“PTC”) and Investment Tax Credits (“ITC”), affecting eligibility based on construction timelines and foreign involvement. It also allows full depreciation of certain geothermal power plant costs in the service year. When claiming tax credits, ITCs reduce the depreciation tax basis by half the credit amount, while PTCs do not. The</w:t>
      </w:r>
    </w:p>
    <w:p>
      <w:pPr>
        <w:spacing w:after="0" w:line="1" w:lineRule="exact"/>
        <w:rPr>
          <w:sz w:val="20"/>
          <w:szCs w:val="20"/>
          <w:color w:val="auto"/>
        </w:rPr>
      </w:pPr>
    </w:p>
    <w:p>
      <w:pPr>
        <w:ind w:left="1160" w:right="1219"/>
        <w:spacing w:after="0" w:line="264" w:lineRule="auto"/>
        <w:rPr>
          <w:sz w:val="20"/>
          <w:szCs w:val="20"/>
          <w:color w:val="auto"/>
        </w:rPr>
      </w:pPr>
      <w:r>
        <w:rPr>
          <w:rFonts w:ascii="Times New Roman" w:cs="Times New Roman" w:eastAsia="Times New Roman" w:hAnsi="Times New Roman"/>
          <w:sz w:val="14"/>
          <w:szCs w:val="14"/>
          <w:color w:val="auto"/>
        </w:rPr>
        <w:t>Company is continuing to evaluate the effect of the OBBB on its consolidated financial statements and related disclosures. The ultimate impact will depend on the Company’s project construction timelines, tax credit elections, and forthcoming interpretive guidance, and therefore cannot be reasonably estimated as of December 31, 2025.</w:t>
      </w:r>
    </w:p>
    <w:p>
      <w:pPr>
        <w:spacing w:after="0" w:line="97" w:lineRule="exact"/>
        <w:rPr>
          <w:sz w:val="20"/>
          <w:szCs w:val="20"/>
          <w:color w:val="auto"/>
        </w:rPr>
      </w:pPr>
    </w:p>
    <w:p>
      <w:pPr>
        <w:jc w:val="center"/>
        <w:ind w:right="2459"/>
        <w:spacing w:after="0"/>
        <w:rPr>
          <w:sz w:val="20"/>
          <w:szCs w:val="20"/>
          <w:color w:val="auto"/>
        </w:rPr>
      </w:pPr>
      <w:r>
        <w:rPr>
          <w:rFonts w:ascii="Times New Roman" w:cs="Times New Roman" w:eastAsia="Times New Roman" w:hAnsi="Times New Roman"/>
          <w:sz w:val="14"/>
          <w:szCs w:val="14"/>
          <w:b w:val="1"/>
          <w:bCs w:val="1"/>
          <w:color w:val="auto"/>
        </w:rPr>
        <w:t>NOTE 3 – DEBT AND OFF-BALANCE SHEET ARRANGEMENTS</w:t>
      </w:r>
    </w:p>
    <w:p>
      <w:pPr>
        <w:spacing w:after="0" w:line="142" w:lineRule="exact"/>
        <w:rPr>
          <w:sz w:val="20"/>
          <w:szCs w:val="20"/>
          <w:color w:val="auto"/>
        </w:rPr>
      </w:pPr>
    </w:p>
    <w:p>
      <w:pPr>
        <w:jc w:val="center"/>
        <w:ind w:right="2459"/>
        <w:spacing w:after="0"/>
        <w:rPr>
          <w:sz w:val="20"/>
          <w:szCs w:val="20"/>
          <w:color w:val="auto"/>
        </w:rPr>
      </w:pPr>
      <w:r>
        <w:rPr>
          <w:rFonts w:ascii="Times New Roman" w:cs="Times New Roman" w:eastAsia="Times New Roman" w:hAnsi="Times New Roman"/>
          <w:sz w:val="14"/>
          <w:szCs w:val="14"/>
          <w:color w:val="auto"/>
        </w:rPr>
        <w:t>Long-term debt, net of issuance costs, consisted of the following:</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6"/>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8"/>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XRC Term Loan</w:t>
            </w:r>
            <w:r>
              <w:rPr>
                <w:rFonts w:ascii="Times New Roman" w:cs="Times New Roman" w:eastAsia="Times New Roman" w:hAnsi="Times New Roman"/>
                <w:sz w:val="14"/>
                <w:szCs w:val="14"/>
                <w:color w:val="B4B4B4"/>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145,600</w:t>
            </w: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40,639</w:t>
            </w:r>
          </w:p>
        </w:tc>
      </w:tr>
      <w:tr>
        <w:trPr>
          <w:trHeight w:val="210"/>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Mercuria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Totalprincipaldueforlong-termdebt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175,600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40,639</w:t>
            </w:r>
          </w:p>
        </w:tc>
      </w:tr>
      <w:tr>
        <w:trPr>
          <w:trHeight w:val="208"/>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Unamortized debt issuance cost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163"/>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Totallong-termdebt,netofissuancecosts</w:t>
            </w: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172,837</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39,019</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XRC Term Loan Agreement</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August 2024, Cape Generating Station 3 LLC and Cape Generating Station 5 LLC, wholly owned subsidiaries of the Company, issued two promissory notes under a loan agreement with XRL ALC, LLC (“XRC”). Tranche A includes notes of up to $64.0 million and Tranche B includes notes of up to $36.0 million. In May 2025, Cape Generating Station 3 LLC and Cape Generating Station 5 LLC entered into the First Amendment to the credit agreement. In connection with the amendment, the Company issued an additional promissory note of $45.6 million under Tranche C. In September 2025, the Company entered into a Second Loan Modification Agreement with XRC, which included updates to certain terms of the credit agreement, including provisions related to the prepayment of the loan. Under the modified terms, the Company is required to pay a prepayment premium upon repayment of the outstanding borrowings under the facility. The Company entered into these agreements to fund the construction of subsurface and surface facilities to be utilized in the generation of geothermal power. The maturity date of Tranche A, Tranche B, and Tranche C of the term loan is August 13, 2027. Upon lender approval, the Company may elect to extend the maturity date for two additional one-year periods. Interest charges are accrued and are indexed to the prime rate, subject to a spread of 3.5% and a floor of 11%. As of December 31, 2025 and 2024 , $145.6 million and</w:t>
      </w:r>
    </w:p>
    <w:p>
      <w:pPr>
        <w:sectPr>
          <w:pgSz w:w="11900" w:h="16867" w:orient="portrait"/>
          <w:cols w:equalWidth="0" w:num="1">
            <w:col w:w="9019"/>
          </w:cols>
          <w:pgMar w:left="1440" w:top="136" w:right="1440" w:bottom="0" w:gutter="0" w:footer="0" w:header="0"/>
        </w:sectPr>
      </w:pPr>
    </w:p>
    <w:bookmarkStart w:id="153" w:name="page154"/>
    <w:bookmarkEnd w:id="153"/>
    <w:tbl>
      <w:tblPr>
        <w:tblLayout w:type="fixed"/>
        <w:tblInd w:w="1160" w:type="dxa"/>
        <w:tblCellMar>
          <w:top w:w="0" w:type="dxa"/>
          <w:left w:w="0" w:type="dxa"/>
          <w:bottom w:w="0" w:type="dxa"/>
          <w:right w:w="0" w:type="dxa"/>
        </w:tblCellMar>
      </w:tblPr>
      <w:tr>
        <w:trPr>
          <w:trHeight w:val="165"/>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$40.6 million, respectively, was drawn which is offset by the remaining unamortized debt issuance costs of</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-74930</wp:posOffset>
            </wp:positionV>
            <wp:extent cx="7160260"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59"/>
        <w:spacing w:after="0" w:line="257" w:lineRule="auto"/>
        <w:rPr>
          <w:sz w:val="20"/>
          <w:szCs w:val="20"/>
          <w:color w:val="auto"/>
        </w:rPr>
      </w:pPr>
      <w:r>
        <w:rPr>
          <w:rFonts w:ascii="Times New Roman" w:cs="Times New Roman" w:eastAsia="Times New Roman" w:hAnsi="Times New Roman"/>
          <w:sz w:val="14"/>
          <w:szCs w:val="14"/>
          <w:color w:val="auto"/>
        </w:rPr>
        <w:t>million and $1.6 million, respectively. Total debt issuance costs incurred totaled $1.9 million and $1.8 million in connection with the note for the years ended December 31, 2025 and 2024 , respectively. The estimated fair value as of December 31, 2025 and 2024 was $140.7 million and $43.2 million, respectively using a discounted cash flow model based on current market interest rates for similar instruments, which is classified as Level 2 in the fair value hierarchy. The XRC Term Loan Agreement includes customary affirmative and negative covenants, including payment and covenant events of default. These covenants restrict the Company’s ability to incur or assume additional indebtedness, grant or assume liens, engage in fundamental changes such as mergers, consolidations, liquidations, or the sale of substantially all assets, make restricted payments, modify project documents in ways materially adverse to the lender, engage in transactions with affiliates, or enter into restrictive agreements. Separately, if an event of default occurs, the lender may cease making any further loan advances and/or declare all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239"/>
        <w:spacing w:after="0" w:line="292" w:lineRule="auto"/>
        <w:rPr>
          <w:sz w:val="20"/>
          <w:szCs w:val="20"/>
          <w:color w:val="auto"/>
        </w:rPr>
      </w:pPr>
      <w:r>
        <w:rPr>
          <w:rFonts w:ascii="Times New Roman" w:cs="Times New Roman" w:eastAsia="Times New Roman" w:hAnsi="Times New Roman"/>
          <w:sz w:val="14"/>
          <w:szCs w:val="14"/>
          <w:color w:val="auto"/>
        </w:rPr>
        <w:t>outstanding obligations immediately due and payable. As of December 31, 2025 and 2024 , the Company was in compliance with all covenants.</w:t>
      </w:r>
    </w:p>
    <w:p>
      <w:pPr>
        <w:spacing w:after="0" w:line="81"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Under the terms of the XRC Loan Agreement, the promissory notes are secured on a first-priority basis by a lien on all the assets of Cape Generating Station 3 LLC and Cape Generating Station 5 LLC.</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Mercuria Credit Agreement and Letter of Credit Facility Agreement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November 2024, Fervo HoldCo LLC, a wholly owned subsidiary of the Company, entered into a</w:t>
      </w:r>
    </w:p>
    <w:p>
      <w:pPr>
        <w:spacing w:after="0" w:line="25" w:lineRule="exact"/>
        <w:rPr>
          <w:sz w:val="20"/>
          <w:szCs w:val="20"/>
          <w:color w:val="auto"/>
        </w:rPr>
      </w:pPr>
    </w:p>
    <w:p>
      <w:pPr>
        <w:ind w:left="1160" w:right="1159"/>
        <w:spacing w:after="0" w:line="257" w:lineRule="auto"/>
        <w:rPr>
          <w:sz w:val="20"/>
          <w:szCs w:val="20"/>
          <w:color w:val="auto"/>
        </w:rPr>
      </w:pPr>
      <w:r>
        <w:rPr>
          <w:rFonts w:ascii="Times New Roman" w:cs="Times New Roman" w:eastAsia="Times New Roman" w:hAnsi="Times New Roman"/>
          <w:sz w:val="14"/>
          <w:szCs w:val="14"/>
          <w:color w:val="auto"/>
        </w:rPr>
        <w:t>$40.0 million credit agreement and $80.0 million letter of credit facility agreement with Mercuria Energy Trading SA (“Mercuria”). In May 2025, Fervo HoldCo LLC entered into the First Amendment to the credit agreement, which increased the term loan commitment by $60.0 million, resulting in total borrowing capacity of $100.0 million. The Company entered into the credit agreement to fund the development, construction and operation of geothermal energy, transmission and delivery of renewable power. Due to the Company’s early development stage, additional credit support is required to support the execution of various agreements required for the Company’s operations, which is fulfilled through the letter of credit facility. This agreement allows the lender to issue letters of credit on the Company’s behalf, guaranteeing payment if Fervo were unable to fulfill its payment obligations under these agreements. The maturity date of the credit agreement is November 20, 2027. Interest charges on the credit agreement accrue at the secured overnight financing rate (“SOFR”) plus a margin of 0.1% and an additional spread of 7.5%.</w:t>
      </w:r>
    </w:p>
    <w:p>
      <w:pPr>
        <w:spacing w:after="0" w:line="281" w:lineRule="exact"/>
        <w:rPr>
          <w:sz w:val="20"/>
          <w:szCs w:val="20"/>
          <w:color w:val="auto"/>
        </w:rPr>
      </w:pPr>
    </w:p>
    <w:p>
      <w:pPr>
        <w:ind w:left="1160" w:right="1239" w:firstLine="258"/>
        <w:spacing w:after="0" w:line="266" w:lineRule="auto"/>
        <w:rPr>
          <w:sz w:val="20"/>
          <w:szCs w:val="20"/>
          <w:color w:val="auto"/>
        </w:rPr>
      </w:pPr>
      <w:r>
        <w:rPr>
          <w:rFonts w:ascii="Times New Roman" w:cs="Times New Roman" w:eastAsia="Times New Roman" w:hAnsi="Times New Roman"/>
          <w:sz w:val="14"/>
          <w:szCs w:val="14"/>
          <w:color w:val="auto"/>
        </w:rPr>
        <w:t>As of December 31, 2025 and 2024 , the Company had $30.0 million and no borrowing outstanding under the credit agreement, respectively, and $35.5 million and $3.6 million outstanding under the letter of credit facility</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agreement, respectively. In connection with the credit facility, the Company incurred debt issuance costs of</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ind w:left="1160" w:right="1179"/>
        <w:spacing w:after="0" w:line="270" w:lineRule="auto"/>
        <w:rPr>
          <w:sz w:val="20"/>
          <w:szCs w:val="20"/>
          <w:color w:val="auto"/>
        </w:rPr>
      </w:pPr>
      <w:r>
        <w:rPr>
          <w:rFonts w:ascii="Times New Roman" w:cs="Times New Roman" w:eastAsia="Times New Roman" w:hAnsi="Times New Roman"/>
          <w:sz w:val="14"/>
          <w:szCs w:val="14"/>
          <w:color w:val="auto"/>
        </w:rPr>
        <w:t>million and $2.2 million during the years ended December 31, 2025 and 2024, respectively. These costs are recorded in o ther long-term assets on the Consolidated Balance Sheets and are amortized over the term of the credit agreement.</w:t>
      </w:r>
    </w:p>
    <w:p>
      <w:pPr>
        <w:spacing w:after="0" w:line="266"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Mercuria Credit Agreement as well as the Letter of Credit Facility described below include various affirmative and negative covenants including restrictions on the Company’s ability to incur additional indebtedness, grant liens, make restricted payments or investments beyond those existing at the effective date, engage in fundamental changes such as mergers or asset sales, conduct affiliate transactions, enter swap agreements outside ordinary business, modify organizational documents adversely to lenders, or change the Company’s business nature. Additionally, the Mercuria Credit Agreement requires compliance with financial covenants including (i) a net asset to total exposure of not less than 2.5, (ii) a financial total debt to equity capital contributions not to exceed 0.6, and</w:t>
      </w:r>
    </w:p>
    <w:p>
      <w:pPr>
        <w:ind w:left="1160" w:right="1179" w:hanging="7"/>
        <w:spacing w:after="0" w:line="272" w:lineRule="auto"/>
        <w:tabs>
          <w:tab w:leader="none" w:pos="141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exposure to total consolidated capital not to exceed 0.4. As of December 31, 2025 and 2024 , the Company was in compliance with all covenants.</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Surety Bond Arrangements</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Fervo routinely arranges for the issuance of various forms of surety bonds to third parties in support of its subsidiaries’ contractual arrangements for power purchase agreements, land development agreements, and contracts associated with development and construction of its power plants. In the event a subsidiary were to fail to perform its obligations under a contract supported by such a surety bond, and the issuing bank or surety were to make payment to the third party, the Company would be responsible for reimbursing the issuing bank or surety within an agreed timeframe, typically a period of one to five days. To the extent liabilities are incurred as a result of activities covered by the surety bonds, such liabilities are included on the Consolidated Balance Sheets . As of December 31, 2025 and 2024, the Company has outstanding surety bonds totaling $57.5 million and $51.0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4 – ASSET RETIREMENT OBLIGATIONS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the changes in the Company’s AROs for the periods indicated:</w:t>
      </w:r>
    </w:p>
    <w:p>
      <w:pPr>
        <w:sectPr>
          <w:pgSz w:w="11900" w:h="16838" w:orient="portrait"/>
          <w:cols w:equalWidth="0" w:num="1">
            <w:col w:w="9019"/>
          </w:cols>
          <w:pgMar w:left="1440" w:top="94" w:right="1440" w:bottom="0" w:gutter="0" w:footer="0" w:header="0"/>
        </w:sectPr>
      </w:pPr>
    </w:p>
    <w:bookmarkStart w:id="154" w:name="page155"/>
    <w:bookmarkEnd w:id="154"/>
    <w:p>
      <w:pPr>
        <w:spacing w:after="0" w:line="50"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4500" w:type="dxa"/>
            <w:vAlign w:val="bottom"/>
          </w:tcPr>
          <w:p>
            <w:pPr>
              <w:spacing w:after="0"/>
              <w:rPr>
                <w:sz w:val="22"/>
                <w:szCs w:val="22"/>
                <w:color w:val="auto"/>
              </w:rPr>
            </w:pPr>
          </w:p>
        </w:tc>
        <w:tc>
          <w:tcPr>
            <w:tcW w:w="2200" w:type="dxa"/>
            <w:vAlign w:val="bottom"/>
            <w:gridSpan w:val="5"/>
          </w:tcPr>
          <w:p>
            <w:pPr>
              <w:jc w:val="right"/>
              <w:ind w:right="350"/>
              <w:spacing w:after="0"/>
              <w:rPr>
                <w:sz w:val="20"/>
                <w:szCs w:val="20"/>
                <w:color w:val="auto"/>
              </w:rPr>
            </w:pPr>
            <w:r>
              <w:rPr>
                <w:rFonts w:ascii="Times New Roman" w:cs="Times New Roman" w:eastAsia="Times New Roman" w:hAnsi="Times New Roman"/>
                <w:sz w:val="22"/>
                <w:szCs w:val="22"/>
                <w:b w:val="1"/>
                <w:bCs w:val="1"/>
                <w:color w:val="auto"/>
                <w:vertAlign w:val="superscript"/>
              </w:rPr>
              <w:t>2025</w:t>
            </w:r>
            <w:r>
              <w:rPr>
                <w:rFonts w:ascii="Times New Roman" w:cs="Times New Roman" w:eastAsia="Times New Roman" w:hAnsi="Times New Roman"/>
                <w:sz w:val="11"/>
                <w:szCs w:val="11"/>
                <w:b w:val="1"/>
                <w:bCs w:val="1"/>
                <w:color w:val="auto"/>
              </w:rPr>
              <w:t>As of December 31,</w:t>
            </w:r>
            <w:r>
              <w:rPr>
                <w:rFonts w:ascii="Times New Roman" w:cs="Times New Roman" w:eastAsia="Times New Roman" w:hAnsi="Times New Roman"/>
                <w:sz w:val="22"/>
                <w:szCs w:val="22"/>
                <w:b w:val="1"/>
                <w:bCs w:val="1"/>
                <w:color w:val="auto"/>
                <w:vertAlign w:val="superscript"/>
              </w:rPr>
              <w:t>2024</w:t>
            </w:r>
          </w:p>
        </w:tc>
        <w:tc>
          <w:tcPr>
            <w:tcW w:w="0" w:type="dxa"/>
            <w:vAlign w:val="bottom"/>
          </w:tcPr>
          <w:p>
            <w:pPr>
              <w:spacing w:after="0"/>
              <w:rPr>
                <w:sz w:val="1"/>
                <w:szCs w:val="1"/>
                <w:color w:val="auto"/>
              </w:rPr>
            </w:pPr>
          </w:p>
        </w:tc>
      </w:tr>
      <w:tr>
        <w:trPr>
          <w:trHeight w:val="129"/>
        </w:trPr>
        <w:tc>
          <w:tcPr>
            <w:tcW w:w="4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Beginningbalance</w:t>
            </w:r>
          </w:p>
        </w:tc>
        <w:tc>
          <w:tcPr>
            <w:tcW w:w="580" w:type="dxa"/>
            <w:vAlign w:val="bottom"/>
          </w:tcPr>
          <w:p>
            <w:pPr>
              <w:jc w:val="right"/>
              <w:ind w:right="393"/>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299</w:t>
            </w:r>
          </w:p>
        </w:tc>
        <w:tc>
          <w:tcPr>
            <w:tcW w:w="40" w:type="dxa"/>
            <w:vAlign w:val="bottom"/>
          </w:tcPr>
          <w:p>
            <w:pPr>
              <w:spacing w:after="0"/>
              <w:rPr>
                <w:sz w:val="11"/>
                <w:szCs w:val="11"/>
                <w:color w:val="auto"/>
              </w:rPr>
            </w:pPr>
          </w:p>
        </w:tc>
        <w:tc>
          <w:tcPr>
            <w:tcW w:w="26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6"/>
        </w:trPr>
        <w:tc>
          <w:tcPr>
            <w:tcW w:w="4500" w:type="dxa"/>
            <w:vAlign w:val="bottom"/>
            <w:tcBorders>
              <w:bottom w:val="single" w:sz="8" w:color="CCEEFF"/>
            </w:tcBorders>
          </w:tcPr>
          <w:p>
            <w:pPr>
              <w:jc w:val="right"/>
              <w:ind w:right="3371"/>
              <w:spacing w:after="0" w:line="86" w:lineRule="exact"/>
              <w:rPr>
                <w:sz w:val="20"/>
                <w:szCs w:val="20"/>
                <w:color w:val="auto"/>
              </w:rPr>
            </w:pPr>
            <w:r>
              <w:rPr>
                <w:rFonts w:ascii="Times New Roman" w:cs="Times New Roman" w:eastAsia="Times New Roman" w:hAnsi="Times New Roman"/>
                <w:sz w:val="9"/>
                <w:szCs w:val="9"/>
                <w:color w:val="auto"/>
              </w:rPr>
              <w:t>(Dollars in thousands)</w:t>
            </w:r>
          </w:p>
        </w:tc>
        <w:tc>
          <w:tcPr>
            <w:tcW w:w="5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Liabilitiesincurredduringtheperiod</w:t>
            </w: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95"/>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Accretion expense </w:t>
            </w:r>
            <w:r>
              <w:rPr>
                <w:rFonts w:ascii="Times New Roman" w:cs="Times New Roman" w:eastAsia="Times New Roman" w:hAnsi="Times New Roman"/>
                <w:sz w:val="14"/>
                <w:szCs w:val="14"/>
                <w:color w:val="B4B4B4"/>
              </w:rPr>
              <w:t>.............................................................................................</w:t>
            </w:r>
          </w:p>
        </w:tc>
        <w:tc>
          <w:tcPr>
            <w:tcW w:w="5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Ending balance </w:t>
            </w:r>
            <w:r>
              <w:rPr>
                <w:rFonts w:ascii="Times New Roman" w:cs="Times New Roman" w:eastAsia="Times New Roman" w:hAnsi="Times New Roman"/>
                <w:sz w:val="14"/>
                <w:szCs w:val="14"/>
                <w:color w:val="B4B4B4"/>
              </w:rPr>
              <w:t>..................................................................................................</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6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5 – OTHER CURRENT LIABILITIES</w:t>
            </w: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The schedule below details the Company’s other current liabilities presented on the</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Consolidated Balance</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Sheets for the periods indicated:</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56"/>
        </w:trPr>
        <w:tc>
          <w:tcPr>
            <w:tcW w:w="4500" w:type="dxa"/>
            <w:vAlign w:val="bottom"/>
            <w:tcBorders>
              <w:bottom w:val="single" w:sz="8" w:color="CCEEFF"/>
            </w:tcBorders>
          </w:tcPr>
          <w:p>
            <w:pPr>
              <w:jc w:val="right"/>
              <w:ind w:right="3371"/>
              <w:spacing w:after="0"/>
              <w:rPr>
                <w:sz w:val="20"/>
                <w:szCs w:val="20"/>
                <w:color w:val="auto"/>
              </w:rPr>
            </w:pPr>
            <w:r>
              <w:rPr>
                <w:rFonts w:ascii="Times New Roman" w:cs="Times New Roman" w:eastAsia="Times New Roman" w:hAnsi="Times New Roman"/>
                <w:sz w:val="11"/>
                <w:szCs w:val="11"/>
                <w:color w:val="auto"/>
              </w:rPr>
              <w:t>(Dollars in thousands)</w:t>
            </w:r>
          </w:p>
        </w:tc>
        <w:tc>
          <w:tcPr>
            <w:tcW w:w="10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Accruedexpenses</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0" w:type="dxa"/>
            <w:vAlign w:val="bottom"/>
          </w:tcPr>
          <w:p>
            <w:pPr>
              <w:spacing w:after="0"/>
              <w:rPr>
                <w:sz w:val="1"/>
                <w:szCs w:val="1"/>
                <w:color w:val="auto"/>
              </w:rPr>
            </w:pPr>
          </w:p>
        </w:tc>
      </w:tr>
      <w:tr>
        <w:trPr>
          <w:trHeight w:val="198"/>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Bonus accrual</w:t>
            </w:r>
            <w:r>
              <w:rPr>
                <w:rFonts w:ascii="Times New Roman" w:cs="Times New Roman" w:eastAsia="Times New Roman" w:hAnsi="Times New Roman"/>
                <w:sz w:val="14"/>
                <w:szCs w:val="14"/>
                <w:color w:val="B4B4B4"/>
              </w:rPr>
              <w:t>.....................................................................................................</w:t>
            </w: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Derivative</w:t>
            </w:r>
            <w:r>
              <w:rPr>
                <w:rFonts w:ascii="Times New Roman" w:cs="Times New Roman" w:eastAsia="Times New Roman" w:hAnsi="Times New Roman"/>
                <w:sz w:val="14"/>
                <w:szCs w:val="14"/>
                <w:color w:val="B4B4B4"/>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Deferred grant income </w:t>
            </w:r>
            <w:r>
              <w:rPr>
                <w:rFonts w:ascii="Times New Roman" w:cs="Times New Roman" w:eastAsia="Times New Roman" w:hAnsi="Times New Roman"/>
                <w:sz w:val="14"/>
                <w:szCs w:val="14"/>
                <w:color w:val="B4B4B4"/>
              </w:rPr>
              <w:t>.......................................................................................</w:t>
            </w: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Payroll liabilities </w:t>
            </w:r>
            <w:r>
              <w:rPr>
                <w:rFonts w:ascii="Times New Roman" w:cs="Times New Roman" w:eastAsia="Times New Roman" w:hAnsi="Times New Roman"/>
                <w:sz w:val="14"/>
                <w:szCs w:val="14"/>
                <w:color w:val="B4B4B4"/>
              </w:rPr>
              <w:t>................................................................................................</w:t>
            </w:r>
          </w:p>
        </w:tc>
        <w:tc>
          <w:tcPr>
            <w:tcW w:w="5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3"/>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Totalothercurrentliabilities</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16,997</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-2215515</wp:posOffset>
            </wp:positionV>
            <wp:extent cx="716026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05"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Note: Deferred grant income is attributable to a grant with an organization for the Company to provide research and development.</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6 – LEASES</w:t>
      </w:r>
    </w:p>
    <w:p>
      <w:pPr>
        <w:spacing w:after="0" w:line="14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BLM geothermal leases provide the geothermal lessee the right and privilege to drill for, extract, produce, remove, utilize, sell, and dispose of geothermal resources on certain lands, together with the right to build and maintain necessary improvements thereon. The actual ownership of the geothermal resources and other minerals beneath the land is retained in the federal mineral estate. The geothermal lease does not grant the geothermal lessee the exclusive right to develop the lands, although the geothermal lessee does hold the exclusive right to develop geothermal resources within the lands. Since BLM leases do not grant to the geothermal lessee the exclusive right to use the surface of the land, BLM may grant rights to others for activities that do not unreasonably interfere with the geothermal lessee’s uses of the same land, including use, off-road vehicles, and/or wind or solar energy developments. The Company has domestic leases on federal, state, and private land in California, Colorado, Idaho, Nevada, New Mexico, Utah and Washington.</w:t>
      </w:r>
    </w:p>
    <w:p>
      <w:pPr>
        <w:spacing w:after="0" w:line="103" w:lineRule="exact"/>
        <w:rPr>
          <w:sz w:val="20"/>
          <w:szCs w:val="20"/>
          <w:color w:val="auto"/>
        </w:rPr>
      </w:pPr>
    </w:p>
    <w:p>
      <w:pPr>
        <w:ind w:left="1420"/>
        <w:spacing w:after="0"/>
        <w:tabs>
          <w:tab w:leader="none" w:pos="6880" w:val="left"/>
        </w:tabs>
        <w:rPr>
          <w:sz w:val="20"/>
          <w:szCs w:val="20"/>
          <w:color w:val="auto"/>
        </w:rPr>
      </w:pPr>
      <w:r>
        <w:rPr>
          <w:rFonts w:ascii="Times New Roman" w:cs="Times New Roman" w:eastAsia="Times New Roman" w:hAnsi="Times New Roman"/>
          <w:sz w:val="14"/>
          <w:szCs w:val="14"/>
          <w:color w:val="auto"/>
        </w:rPr>
        <w:t>The Company also has leases for its office space and field vehicles. The Company recognized</w:t>
        <w:tab/>
        <w:t>$9.7 million and</w:t>
      </w:r>
    </w:p>
    <w:p>
      <w:pPr>
        <w:spacing w:after="0" w:line="25" w:lineRule="exact"/>
        <w:rPr>
          <w:sz w:val="20"/>
          <w:szCs w:val="20"/>
          <w:color w:val="auto"/>
        </w:rPr>
      </w:pPr>
    </w:p>
    <w:p>
      <w:pPr>
        <w:ind w:left="1160"/>
        <w:spacing w:after="0"/>
        <w:tabs>
          <w:tab w:leader="none" w:pos="7080" w:val="left"/>
        </w:tabs>
        <w:rPr>
          <w:sz w:val="20"/>
          <w:szCs w:val="20"/>
          <w:color w:val="auto"/>
        </w:rPr>
      </w:pPr>
      <w:r>
        <w:rPr>
          <w:rFonts w:ascii="Times New Roman" w:cs="Times New Roman" w:eastAsia="Times New Roman" w:hAnsi="Times New Roman"/>
          <w:sz w:val="14"/>
          <w:szCs w:val="14"/>
          <w:color w:val="auto"/>
        </w:rPr>
        <w:t>$6.9 million, respectively, in total lease expense as reflected in operating lease expenses in the</w:t>
      </w:r>
      <w:r>
        <w:rPr>
          <w:sz w:val="20"/>
          <w:szCs w:val="20"/>
          <w:color w:val="auto"/>
        </w:rPr>
        <w:tab/>
      </w:r>
      <w:r>
        <w:rPr>
          <w:rFonts w:ascii="Times New Roman" w:cs="Times New Roman" w:eastAsia="Times New Roman" w:hAnsi="Times New Roman"/>
          <w:sz w:val="14"/>
          <w:szCs w:val="14"/>
          <w:color w:val="auto"/>
        </w:rPr>
        <w:t>Consolidated</w:t>
      </w:r>
    </w:p>
    <w:p>
      <w:pPr>
        <w:spacing w:after="0" w:line="11" w:lineRule="exact"/>
        <w:rPr>
          <w:sz w:val="20"/>
          <w:szCs w:val="20"/>
          <w:color w:val="auto"/>
        </w:rPr>
      </w:pPr>
    </w:p>
    <w:p>
      <w:pPr>
        <w:ind w:left="1160" w:right="1239"/>
        <w:spacing w:after="0" w:line="272" w:lineRule="auto"/>
        <w:rPr>
          <w:sz w:val="20"/>
          <w:szCs w:val="20"/>
          <w:color w:val="auto"/>
        </w:rPr>
      </w:pPr>
      <w:r>
        <w:rPr>
          <w:rFonts w:ascii="Times New Roman" w:cs="Times New Roman" w:eastAsia="Times New Roman" w:hAnsi="Times New Roman"/>
          <w:sz w:val="14"/>
          <w:szCs w:val="14"/>
          <w:color w:val="auto"/>
        </w:rPr>
        <w:t>Statements of Operations for the years ended December 31, 2025 and 2024 . Total cash payments related to leases were $9.5 million and $2.8 million, respectively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476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5"/>
        </w:trPr>
        <w:tc>
          <w:tcPr>
            <w:tcW w:w="4760" w:type="dxa"/>
            <w:vAlign w:val="bottom"/>
            <w:gridSpan w:val="2"/>
          </w:tcPr>
          <w:p>
            <w:pPr>
              <w:ind w:left="210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1"/>
        </w:trPr>
        <w:tc>
          <w:tcPr>
            <w:tcW w:w="5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following  table presents information regarding operating leases recorded on the</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Consolidated Balance</w:t>
            </w:r>
          </w:p>
        </w:tc>
      </w:tr>
      <w:tr>
        <w:trPr>
          <w:trHeight w:val="186"/>
        </w:trPr>
        <w:tc>
          <w:tcPr>
            <w:tcW w:w="450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Sheets where the Company is the lessee for the periods indicated.</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25"/>
        </w:trPr>
        <w:tc>
          <w:tcPr>
            <w:tcW w:w="4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5"/>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Carrying values by asset category</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450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ROU Asset:</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2"/>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Geothermal land leases </w:t>
            </w:r>
            <w:r>
              <w:rPr>
                <w:rFonts w:ascii="Times New Roman" w:cs="Times New Roman" w:eastAsia="Times New Roman" w:hAnsi="Times New Roman"/>
                <w:sz w:val="14"/>
                <w:szCs w:val="14"/>
                <w:color w:val="B4B4B4"/>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45,609</w:t>
            </w:r>
          </w:p>
        </w:tc>
        <w:tc>
          <w:tcPr>
            <w:tcW w:w="4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24,316</w:t>
            </w:r>
          </w:p>
        </w:tc>
      </w:tr>
      <w:tr>
        <w:trPr>
          <w:trHeight w:val="204"/>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space</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6,635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r>
      <w:tr>
        <w:trPr>
          <w:trHeight w:val="195"/>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4"/>
                <w:szCs w:val="14"/>
                <w:color w:val="B4B4B4"/>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6,188</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Vehicles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30"/>
        </w:trPr>
        <w:tc>
          <w:tcPr>
            <w:tcW w:w="45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260" w:type="dxa"/>
            <w:vAlign w:val="bottom"/>
            <w:tcBorders>
              <w:bottom w:val="single" w:sz="8" w:color="auto"/>
            </w:tcBorders>
          </w:tcPr>
          <w:p>
            <w:pPr>
              <w:jc w:val="right"/>
              <w:ind w:right="68"/>
              <w:spacing w:after="0" w:line="13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30"/>
              <w:spacing w:after="0" w:line="131" w:lineRule="exact"/>
              <w:rPr>
                <w:sz w:val="20"/>
                <w:szCs w:val="20"/>
                <w:color w:val="auto"/>
              </w:rPr>
            </w:pPr>
            <w:r>
              <w:rPr>
                <w:rFonts w:ascii="Times New Roman" w:cs="Times New Roman" w:eastAsia="Times New Roman" w:hAnsi="Times New Roman"/>
                <w:sz w:val="14"/>
                <w:szCs w:val="14"/>
                <w:color w:val="auto"/>
              </w:rPr>
              <w:t>58,713</w:t>
            </w:r>
          </w:p>
        </w:tc>
        <w:tc>
          <w:tcPr>
            <w:tcW w:w="40" w:type="dxa"/>
            <w:vAlign w:val="bottom"/>
          </w:tcPr>
          <w:p>
            <w:pPr>
              <w:spacing w:after="0"/>
              <w:rPr>
                <w:sz w:val="11"/>
                <w:szCs w:val="11"/>
                <w:color w:val="auto"/>
              </w:rPr>
            </w:pPr>
          </w:p>
        </w:tc>
        <w:tc>
          <w:tcPr>
            <w:tcW w:w="260" w:type="dxa"/>
            <w:vAlign w:val="bottom"/>
            <w:tcBorders>
              <w:bottom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25,672</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3"/>
        </w:trPr>
        <w:tc>
          <w:tcPr>
            <w:tcW w:w="45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Lease Liability</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72"/>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Geothermal land leases </w:t>
            </w:r>
            <w:r>
              <w:rPr>
                <w:rFonts w:ascii="Times New Roman" w:cs="Times New Roman" w:eastAsia="Times New Roman" w:hAnsi="Times New Roman"/>
                <w:sz w:val="14"/>
                <w:szCs w:val="14"/>
                <w:color w:val="B4B4B4"/>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62,744</w:t>
            </w:r>
          </w:p>
        </w:tc>
        <w:tc>
          <w:tcPr>
            <w:tcW w:w="4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41,420</w:t>
            </w:r>
          </w:p>
        </w:tc>
      </w:tr>
      <w:tr>
        <w:trPr>
          <w:trHeight w:val="204"/>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space</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8,144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195"/>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4"/>
                <w:szCs w:val="14"/>
                <w:color w:val="B4B4B4"/>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6,300</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Vehicles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30"/>
        </w:trPr>
        <w:tc>
          <w:tcPr>
            <w:tcW w:w="45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260" w:type="dxa"/>
            <w:vAlign w:val="bottom"/>
            <w:tcBorders>
              <w:bottom w:val="single" w:sz="8" w:color="auto"/>
            </w:tcBorders>
          </w:tcPr>
          <w:p>
            <w:pPr>
              <w:jc w:val="right"/>
              <w:ind w:right="68"/>
              <w:spacing w:after="0" w:line="13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30"/>
              <w:spacing w:after="0" w:line="131" w:lineRule="exact"/>
              <w:rPr>
                <w:sz w:val="20"/>
                <w:szCs w:val="20"/>
                <w:color w:val="auto"/>
              </w:rPr>
            </w:pPr>
            <w:r>
              <w:rPr>
                <w:rFonts w:ascii="Times New Roman" w:cs="Times New Roman" w:eastAsia="Times New Roman" w:hAnsi="Times New Roman"/>
                <w:sz w:val="14"/>
                <w:szCs w:val="14"/>
                <w:color w:val="auto"/>
              </w:rPr>
              <w:t>77,461</w:t>
            </w:r>
          </w:p>
        </w:tc>
        <w:tc>
          <w:tcPr>
            <w:tcW w:w="40" w:type="dxa"/>
            <w:vAlign w:val="bottom"/>
          </w:tcPr>
          <w:p>
            <w:pPr>
              <w:spacing w:after="0"/>
              <w:rPr>
                <w:sz w:val="11"/>
                <w:szCs w:val="11"/>
                <w:color w:val="auto"/>
              </w:rPr>
            </w:pPr>
          </w:p>
        </w:tc>
        <w:tc>
          <w:tcPr>
            <w:tcW w:w="260" w:type="dxa"/>
            <w:vAlign w:val="bottom"/>
            <w:tcBorders>
              <w:bottom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42,779</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371"/>
        </w:trPr>
        <w:tc>
          <w:tcPr>
            <w:tcW w:w="4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6"/>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By asset category</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6"/>
        </w:trPr>
        <w:tc>
          <w:tcPr>
            <w:tcW w:w="450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Weighted average remaining term</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2"/>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Geothermal land leases </w:t>
            </w:r>
            <w:r>
              <w:rPr>
                <w:rFonts w:ascii="Times New Roman" w:cs="Times New Roman" w:eastAsia="Times New Roman" w:hAnsi="Times New Roman"/>
                <w:sz w:val="14"/>
                <w:szCs w:val="14"/>
                <w:color w:val="B4B4B4"/>
              </w:rPr>
              <w:t>.................................................................................</w:t>
            </w:r>
          </w:p>
        </w:tc>
        <w:tc>
          <w:tcPr>
            <w:tcW w:w="2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 years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years</w:t>
            </w:r>
          </w:p>
        </w:tc>
      </w:tr>
      <w:tr>
        <w:trPr>
          <w:trHeight w:val="204"/>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space</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 years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year</w:t>
            </w:r>
          </w:p>
        </w:tc>
      </w:tr>
      <w:tr>
        <w:trPr>
          <w:trHeight w:val="195"/>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4"/>
                <w:szCs w:val="14"/>
                <w:color w:val="B4B4B4"/>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 years</w:t>
            </w:r>
          </w:p>
        </w:tc>
        <w:tc>
          <w:tcPr>
            <w:tcW w:w="26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Vehicles </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 years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years</w:t>
            </w:r>
          </w:p>
        </w:tc>
      </w:tr>
      <w:tr>
        <w:trPr>
          <w:trHeight w:val="172"/>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50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4"/>
                <w:szCs w:val="14"/>
                <w:b w:val="1"/>
                <w:bCs w:val="1"/>
                <w:color w:val="auto"/>
              </w:rPr>
              <w:t>Weighted average discount rate</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2"/>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Geothermal land leases </w:t>
            </w:r>
            <w:r>
              <w:rPr>
                <w:rFonts w:ascii="Times New Roman" w:cs="Times New Roman" w:eastAsia="Times New Roman" w:hAnsi="Times New Roman"/>
                <w:sz w:val="14"/>
                <w:szCs w:val="14"/>
                <w:color w:val="B4B4B4"/>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12 %</w:t>
            </w:r>
          </w:p>
        </w:tc>
      </w:tr>
      <w:tr>
        <w:trPr>
          <w:trHeight w:val="204"/>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space</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11 %</w:t>
            </w:r>
          </w:p>
        </w:tc>
      </w:tr>
      <w:tr>
        <w:trPr>
          <w:trHeight w:val="195"/>
        </w:trPr>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4"/>
                <w:szCs w:val="14"/>
                <w:color w:val="B4B4B4"/>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w:t>
            </w:r>
          </w:p>
        </w:tc>
      </w:tr>
      <w:tr>
        <w:trPr>
          <w:trHeight w:val="181"/>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Vehicles </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10 %</w:t>
            </w:r>
          </w:p>
        </w:tc>
      </w:tr>
    </w:tbl>
    <w:p>
      <w:pPr>
        <w:spacing w:after="0" w:line="26" w:lineRule="exact"/>
        <w:rPr>
          <w:sz w:val="20"/>
          <w:szCs w:val="20"/>
          <w:color w:val="auto"/>
        </w:rPr>
      </w:pPr>
    </w:p>
    <w:p>
      <w:pPr>
        <w:sectPr>
          <w:pgSz w:w="11900" w:h="16889" w:orient="portrait"/>
          <w:cols w:equalWidth="0" w:num="1">
            <w:col w:w="9019"/>
          </w:cols>
          <w:pgMar w:left="1440" w:top="15" w:right="1440" w:bottom="0" w:gutter="0" w:footer="0" w:header="0"/>
        </w:sectPr>
      </w:pPr>
    </w:p>
    <w:p>
      <w:pPr>
        <w:ind w:left="116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22" w:lineRule="exact"/>
        <w:rPr>
          <w:sz w:val="20"/>
          <w:szCs w:val="20"/>
          <w:color w:val="auto"/>
        </w:rPr>
      </w:pPr>
    </w:p>
    <w:p>
      <w:pPr>
        <w:ind w:left="1160"/>
        <w:spacing w:after="0"/>
        <w:tabs>
          <w:tab w:leader="none" w:pos="1400" w:val="left"/>
        </w:tabs>
        <w:rPr>
          <w:sz w:val="20"/>
          <w:szCs w:val="20"/>
          <w:color w:val="auto"/>
        </w:rPr>
      </w:pPr>
      <w:r>
        <w:rPr>
          <w:rFonts w:ascii="Times New Roman" w:cs="Times New Roman" w:eastAsia="Times New Roman" w:hAnsi="Times New Roman"/>
          <w:sz w:val="11"/>
          <w:szCs w:val="11"/>
          <w:color w:val="auto"/>
        </w:rPr>
        <w:t>(1)</w:t>
        <w:tab/>
        <w:t>The short-term and long-term lease liability totals $4.8 million and $72.6 million as of December 31, 2025, respectively, and $1.9 million</w:t>
      </w:r>
    </w:p>
    <w:p>
      <w:pPr>
        <w:sectPr>
          <w:pgSz w:w="11900" w:h="16889" w:orient="portrait"/>
          <w:cols w:equalWidth="0" w:num="1">
            <w:col w:w="9019"/>
          </w:cols>
          <w:pgMar w:left="1440" w:top="15" w:right="1440" w:bottom="0" w:gutter="0" w:footer="0" w:header="0"/>
          <w:type w:val="continuous"/>
        </w:sectPr>
      </w:pPr>
    </w:p>
    <w:bookmarkStart w:id="155" w:name="page156"/>
    <w:bookmarkEnd w:id="155"/>
    <w:p>
      <w:pPr>
        <w:ind w:left="1420"/>
        <w:spacing w:after="0"/>
        <w:rPr>
          <w:sz w:val="20"/>
          <w:szCs w:val="20"/>
          <w:color w:val="auto"/>
        </w:rPr>
      </w:pPr>
      <w:r>
        <w:rPr>
          <w:rFonts w:ascii="Times New Roman" w:cs="Times New Roman" w:eastAsia="Times New Roman" w:hAnsi="Times New Roman"/>
          <w:sz w:val="11"/>
          <w:szCs w:val="11"/>
          <w:color w:val="auto"/>
        </w:rPr>
        <w:t>and $40.9 million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-67945</wp:posOffset>
            </wp:positionV>
            <wp:extent cx="716026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 w:lineRule="exact"/>
        <w:rPr>
          <w:sz w:val="20"/>
          <w:szCs w:val="20"/>
          <w:color w:val="auto"/>
        </w:rPr>
      </w:pPr>
    </w:p>
    <w:p>
      <w:pPr>
        <w:ind w:left="1420" w:hanging="267"/>
        <w:spacing w:after="0"/>
        <w:tabs>
          <w:tab w:leader="none" w:pos="1420" w:val="left"/>
        </w:tabs>
        <w:numPr>
          <w:ilvl w:val="0"/>
          <w:numId w:val="1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discount rate for each category of assets represents the Company’s IBR for leases.</w:t>
      </w:r>
    </w:p>
    <w:p>
      <w:pPr>
        <w:spacing w:after="0" w:line="126" w:lineRule="exact"/>
        <w:rPr>
          <w:sz w:val="20"/>
          <w:szCs w:val="20"/>
          <w:color w:val="auto"/>
        </w:rPr>
      </w:pPr>
    </w:p>
    <w:p>
      <w:pPr>
        <w:ind w:left="1160" w:right="1459" w:firstLine="258"/>
        <w:spacing w:after="0" w:line="268" w:lineRule="auto"/>
        <w:rPr>
          <w:sz w:val="20"/>
          <w:szCs w:val="20"/>
          <w:color w:val="auto"/>
        </w:rPr>
      </w:pPr>
      <w:r>
        <w:rPr>
          <w:rFonts w:ascii="Times New Roman" w:cs="Times New Roman" w:eastAsia="Times New Roman" w:hAnsi="Times New Roman"/>
          <w:sz w:val="14"/>
          <w:szCs w:val="14"/>
          <w:color w:val="auto"/>
        </w:rPr>
        <w:t>The IBR is a significant estimate related to the Company’s operating lease liabilities. It was calculated by determining a credit rating based on credit metrics of comparable publicly traded companies, developing a yield curve for publicly traded debt matching the credit rating, and then developing a weighted average IBR based on those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The following is a schedule showing the Company’s future minimum lease payments associated with the operating leases together with the present value of the net minimum lease payments for the periods indicated.</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76"/>
        </w:trPr>
        <w:tc>
          <w:tcPr>
            <w:tcW w:w="5620" w:type="dxa"/>
            <w:vAlign w:val="bottom"/>
            <w:tcBorders>
              <w:bottom w:val="single" w:sz="8" w:color="CCEEFF"/>
            </w:tcBorders>
          </w:tcPr>
          <w:p>
            <w:pPr>
              <w:jc w:val="right"/>
              <w:ind w:right="4490"/>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9"/>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2026</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r>
      <w:tr>
        <w:trPr>
          <w:trHeight w:val="198"/>
        </w:trPr>
        <w:tc>
          <w:tcPr>
            <w:tcW w:w="5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7,235</w:t>
            </w:r>
          </w:p>
        </w:tc>
      </w:tr>
      <w:tr>
        <w:trPr>
          <w:trHeight w:val="210"/>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w:t>
            </w:r>
          </w:p>
        </w:tc>
      </w:tr>
      <w:tr>
        <w:trPr>
          <w:trHeight w:val="198"/>
        </w:trPr>
        <w:tc>
          <w:tcPr>
            <w:tcW w:w="5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12,035</w:t>
            </w:r>
          </w:p>
        </w:tc>
      </w:tr>
      <w:tr>
        <w:trPr>
          <w:trHeight w:val="210"/>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w:t>
            </w:r>
          </w:p>
        </w:tc>
      </w:tr>
      <w:tr>
        <w:trPr>
          <w:trHeight w:val="198"/>
        </w:trPr>
        <w:tc>
          <w:tcPr>
            <w:tcW w:w="5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Thereafter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133,508</w:t>
            </w:r>
          </w:p>
        </w:tc>
      </w:tr>
      <w:tr>
        <w:trPr>
          <w:trHeight w:val="190"/>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Totalminimumleasepayments</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176,607</w:t>
            </w:r>
          </w:p>
        </w:tc>
      </w:tr>
      <w:tr>
        <w:trPr>
          <w:trHeight w:val="198"/>
        </w:trPr>
        <w:tc>
          <w:tcPr>
            <w:tcW w:w="5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Less: Amount representing interest</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99,146</w:t>
            </w:r>
          </w:p>
        </w:tc>
      </w:tr>
      <w:tr>
        <w:trPr>
          <w:trHeight w:val="190"/>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Totalleaseobligation</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77,461</w:t>
            </w:r>
          </w:p>
        </w:tc>
      </w:tr>
      <w:tr>
        <w:trPr>
          <w:trHeight w:val="198"/>
        </w:trPr>
        <w:tc>
          <w:tcPr>
            <w:tcW w:w="5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Current lease obligation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w:t>
            </w:r>
          </w:p>
        </w:tc>
      </w:tr>
      <w:tr>
        <w:trPr>
          <w:trHeight w:val="193"/>
        </w:trPr>
        <w:tc>
          <w:tcPr>
            <w:tcW w:w="5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Long-termleaseobligation</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7 – CONCENTRATIONS</w:t>
      </w:r>
    </w:p>
    <w:p>
      <w:pPr>
        <w:spacing w:after="0" w:line="142"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All operations and efforts of the Company are focused in the geothermal industry and are subject to the related risks of the industry. The Company’s projects are located in Nevada and Utah. The Company faces competition from geothermal developers as well as other renewable energy providers and developers.</w:t>
      </w:r>
    </w:p>
    <w:p>
      <w:pPr>
        <w:spacing w:after="0" w:line="93" w:lineRule="exact"/>
        <w:rPr>
          <w:sz w:val="20"/>
          <w:szCs w:val="20"/>
          <w:color w:val="auto"/>
        </w:rPr>
      </w:pPr>
    </w:p>
    <w:p>
      <w:pPr>
        <w:jc w:val="both"/>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Competition occurs in the very early stage of development. The early stage is primarily obtaining the rights to the resource for development of future projects or acquiring a site already in a more advanced stage of development.</w:t>
      </w:r>
    </w:p>
    <w:p>
      <w:pPr>
        <w:spacing w:after="0" w:line="81"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Company is also potentially subject to concentrations of credit risk in its project deposits. However, the Company has not historically experienced any write downs and management does not believe significant credit risks exists as of December 31, 2025 and 2024.</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8 – COMMON STOCK</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44"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holders of common stock are entitled to one vote for each share on all voting matters other than matters that solely relate to the terms of one or more outstanding series of preferred stock.</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Dividends and Liquidation Rights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Company cannot pay dividends on common stock unless the holders of the redeemable convertible preferred stock outstanding at the time simultaneously receive a dividend on each outstanding share of preferred stock as described in Note 9 – Redeemable Convertible Preferred Stock. During the years ended December 31, 2025 and 2024, no dividends on the Company’s common stock have been paid or declared by the Company.</w:t>
      </w:r>
    </w:p>
    <w:p>
      <w:pPr>
        <w:spacing w:after="0" w:line="97" w:lineRule="exact"/>
        <w:rPr>
          <w:sz w:val="20"/>
          <w:szCs w:val="20"/>
          <w:color w:val="auto"/>
        </w:rPr>
      </w:pPr>
    </w:p>
    <w:p>
      <w:pPr>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winding up of the Company, or any deemed liquidation event, such as a merger or disposition of substantially all of the Company’s assets (“Deemed Liquidation Event”), holders of common stock are entitled to share in any distribution of assets remaining after distributions to redeemable convertible preferred stockholders as described further below.</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44"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The holders of common stock are entitled to elect two directors to the Board of Directors (“Board”) of the Company.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ectPr>
          <w:pgSz w:w="11900" w:h="16838" w:orient="portrait"/>
          <w:cols w:equalWidth="0" w:num="1">
            <w:col w:w="9019"/>
          </w:cols>
          <w:pgMar w:left="1440" w:top="122" w:right="1440" w:bottom="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Notes to Consolidated Financial Statements</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Restricted Net Assets</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Fervo HoldCo LLC, a wholly owned direct subsidiary of the Company, entered into the Mercuria Credit Agreement, which includes certain covenants limiting the ability of the Company’s subsidiaries to make cash distributions to Fervo Energy Company, the parent entity. The net assets subject to restriction under the provisions of the Mercuria Credit Agreement were estimated at $483.8 million and $243.6 million as of December 31, 2025 and 2024 respectively. The restricted amount represents the net assets of the subsidiaries subject to the distribution limitations contained in the Credit Agreement and excludes the Company’s stockholders’ equity, which is not considered an asset subject to such restrictions. See Note 3 – Debt and Off-Balance Sheet Arrangements for further information regarding the Mercuria Credit Agreement.</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9 – REDEEMABLE CONVERTIBLE PREFERRED STOCK</w:t>
      </w:r>
    </w:p>
    <w:p>
      <w:pPr>
        <w:spacing w:after="0" w:line="142"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2025 and 2024 , the Company authorized twelve and ten series of redeemable convertible preferred stock, respectively.</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 redeemable convertible preferred stock consisted of the following:</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40" w:type="dxa"/>
            <w:vAlign w:val="bottom"/>
          </w:tcPr>
          <w:p>
            <w:pPr>
              <w:spacing w:after="0"/>
              <w:rPr>
                <w:sz w:val="11"/>
                <w:szCs w:val="11"/>
                <w:color w:val="auto"/>
              </w:rPr>
            </w:pP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Issuance Price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20" w:type="dxa"/>
            <w:vAlign w:val="bottom"/>
          </w:tcPr>
          <w:p>
            <w:pPr>
              <w:spacing w:after="0"/>
              <w:rPr>
                <w:sz w:val="10"/>
                <w:szCs w:val="10"/>
                <w:color w:val="auto"/>
              </w:rPr>
            </w:pPr>
          </w:p>
        </w:tc>
        <w:tc>
          <w:tcPr>
            <w:tcW w:w="740" w:type="dxa"/>
            <w:vAlign w:val="bottom"/>
          </w:tcPr>
          <w:p>
            <w:pPr>
              <w:jc w:val="center"/>
              <w:ind w:right="51"/>
              <w:spacing w:after="0" w:line="116"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50"/>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amounts)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0" w:type="dxa"/>
            <w:vAlign w:val="bottom"/>
          </w:tcPr>
          <w:p>
            <w:pPr>
              <w:spacing w:after="0"/>
              <w:rPr>
                <w:sz w:val="1"/>
                <w:szCs w:val="1"/>
                <w:color w:val="auto"/>
              </w:rPr>
            </w:pPr>
          </w:p>
        </w:tc>
      </w:tr>
      <w:tr>
        <w:trPr>
          <w:trHeight w:val="184"/>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A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0.77</w:t>
            </w:r>
          </w:p>
        </w:tc>
        <w:tc>
          <w:tcPr>
            <w:tcW w:w="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A-1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0.05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24,596</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C-1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110,100</w:t>
            </w: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C-2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C-3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D-1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92,344</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92,344</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233,843</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D-2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2.15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D-3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25,468</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25,468</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134,500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D-4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4.49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98"/>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E-1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56,537</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56,537</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8.17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462,000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Series E-2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283,546</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279,995</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1,022,942</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1,025,217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2024, redeemable convertible preferred stock consisted of the following:</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Issuance Price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0"/>
        </w:trPr>
        <w:tc>
          <w:tcPr>
            <w:tcW w:w="22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2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and</w:t>
            </w:r>
          </w:p>
        </w:tc>
        <w:tc>
          <w:tcPr>
            <w:tcW w:w="900" w:type="dxa"/>
            <w:vAlign w:val="bottom"/>
            <w:gridSpan w:val="3"/>
            <w:vMerge w:val="continue"/>
          </w:tcPr>
          <w:p>
            <w:pPr>
              <w:spacing w:after="0"/>
              <w:rPr>
                <w:sz w:val="9"/>
                <w:szCs w:val="9"/>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20" w:type="dxa"/>
            <w:vAlign w:val="bottom"/>
          </w:tcPr>
          <w:p>
            <w:pPr>
              <w:spacing w:after="0"/>
              <w:rPr>
                <w:sz w:val="9"/>
                <w:szCs w:val="9"/>
                <w:color w:val="auto"/>
              </w:rPr>
            </w:pPr>
          </w:p>
        </w:tc>
        <w:tc>
          <w:tcPr>
            <w:tcW w:w="740" w:type="dxa"/>
            <w:vAlign w:val="bottom"/>
          </w:tcPr>
          <w:p>
            <w:pPr>
              <w:jc w:val="center"/>
              <w:ind w:right="52"/>
              <w:spacing w:after="0" w:line="110"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54"/>
        </w:trPr>
        <w:tc>
          <w:tcPr>
            <w:tcW w:w="22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amounts)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0" w:type="dxa"/>
            <w:vAlign w:val="bottom"/>
          </w:tcPr>
          <w:p>
            <w:pPr>
              <w:spacing w:after="0"/>
              <w:rPr>
                <w:sz w:val="1"/>
                <w:szCs w:val="1"/>
                <w:color w:val="auto"/>
              </w:rPr>
            </w:pPr>
          </w:p>
        </w:tc>
      </w:tr>
      <w:tr>
        <w:trPr>
          <w:trHeight w:val="189"/>
        </w:trPr>
        <w:tc>
          <w:tcPr>
            <w:tcW w:w="2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Series A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4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11,250</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Series A-1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195"/>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24,596</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Series C-1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110,100</w:t>
            </w:r>
          </w:p>
        </w:tc>
        <w:tc>
          <w:tcPr>
            <w:tcW w:w="0" w:type="dxa"/>
            <w:vAlign w:val="bottom"/>
          </w:tcPr>
          <w:p>
            <w:pPr>
              <w:spacing w:after="0"/>
              <w:rPr>
                <w:sz w:val="1"/>
                <w:szCs w:val="1"/>
                <w:color w:val="auto"/>
              </w:rPr>
            </w:pPr>
          </w:p>
        </w:tc>
      </w:tr>
      <w:tr>
        <w:trPr>
          <w:trHeight w:val="195"/>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Series C-2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Series C-3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0" w:type="dxa"/>
            <w:vAlign w:val="bottom"/>
          </w:tcPr>
          <w:p>
            <w:pPr>
              <w:spacing w:after="0"/>
              <w:rPr>
                <w:sz w:val="1"/>
                <w:szCs w:val="1"/>
                <w:color w:val="auto"/>
              </w:rPr>
            </w:pPr>
          </w:p>
        </w:tc>
      </w:tr>
      <w:tr>
        <w:trPr>
          <w:trHeight w:val="195"/>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Series D-1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92,344</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233,843</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Series D-2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0" w:type="dxa"/>
            <w:vAlign w:val="bottom"/>
          </w:tcPr>
          <w:p>
            <w:pPr>
              <w:spacing w:after="0"/>
              <w:rPr>
                <w:sz w:val="1"/>
                <w:szCs w:val="1"/>
                <w:color w:val="auto"/>
              </w:rPr>
            </w:pPr>
          </w:p>
        </w:tc>
      </w:tr>
      <w:tr>
        <w:trPr>
          <w:trHeight w:val="186"/>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Series D-3 </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25,468</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134,500</w:t>
            </w:r>
          </w:p>
        </w:tc>
        <w:tc>
          <w:tcPr>
            <w:tcW w:w="0" w:type="dxa"/>
            <w:vAlign w:val="bottom"/>
          </w:tcPr>
          <w:p>
            <w:pPr>
              <w:spacing w:after="0"/>
              <w:rPr>
                <w:sz w:val="1"/>
                <w:szCs w:val="1"/>
                <w:color w:val="auto"/>
              </w:rPr>
            </w:pPr>
          </w:p>
        </w:tc>
      </w:tr>
      <w:tr>
        <w:trPr>
          <w:trHeight w:val="683"/>
        </w:trPr>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F-22</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Issuance Price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22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20" w:type="dxa"/>
            <w:vAlign w:val="bottom"/>
          </w:tcPr>
          <w:p>
            <w:pPr>
              <w:spacing w:after="0"/>
              <w:rPr>
                <w:sz w:val="10"/>
                <w:szCs w:val="10"/>
                <w:color w:val="auto"/>
              </w:rPr>
            </w:pPr>
          </w:p>
        </w:tc>
        <w:tc>
          <w:tcPr>
            <w:tcW w:w="740" w:type="dxa"/>
            <w:vAlign w:val="bottom"/>
          </w:tcPr>
          <w:p>
            <w:pPr>
              <w:jc w:val="center"/>
              <w:ind w:right="57"/>
              <w:spacing w:after="0" w:line="116"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50"/>
        </w:trPr>
        <w:tc>
          <w:tcPr>
            <w:tcW w:w="22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amounts)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6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0" w:type="dxa"/>
            <w:vAlign w:val="bottom"/>
          </w:tcPr>
          <w:p>
            <w:pPr>
              <w:spacing w:after="0"/>
              <w:rPr>
                <w:sz w:val="1"/>
                <w:szCs w:val="1"/>
                <w:color w:val="auto"/>
              </w:rPr>
            </w:pPr>
          </w:p>
        </w:tc>
      </w:tr>
      <w:tr>
        <w:trPr>
          <w:trHeight w:val="184"/>
        </w:trPr>
        <w:tc>
          <w:tcPr>
            <w:tcW w:w="2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SeriesD-4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63"/>
        </w:trPr>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223,458</w:t>
            </w: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223,458</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561,500</w:t>
            </w:r>
          </w:p>
        </w:tc>
        <w:tc>
          <w:tcPr>
            <w:tcW w:w="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563,217</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holders of the redeemable convertible preferred stock have the following rights, preferences, and privileges: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42" w:lineRule="exact"/>
        <w:rPr>
          <w:sz w:val="20"/>
          <w:szCs w:val="20"/>
          <w:color w:val="auto"/>
        </w:rPr>
      </w:pPr>
    </w:p>
    <w:p>
      <w:pPr>
        <w:jc w:val="both"/>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Each holder of redeemable convertible preferred stock is entitled to the number of votes calculated on an as converted to common stock basis. The preferred stockholders vote together as a single class with the holders of common stock.</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4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If a dividend is declared, the holders of the redeemable convertible preferred stock receive the same amount per share as the common stockholders for the number of shares of common stock that would be received on an as converted to common stock basis. No such dividends have been declared or paid during the years ended December 31, 2025 and 2024.</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Each share of redeemable convertible preferred stock is convertible at any time at the election of the holder into common stock. The conversion rate is determined by dividing the original issue price, by the conversion price at the time of conversion, with the conversion price initially equal to the original issue price, subject to customary anti-dilutive adjustments for stock splits, dividends, and other applicable corporate events. As of December 31, 2025 and 2024, each share of redeemable convertible preferred stock was convertible into one share of common stock.</w:t>
      </w:r>
    </w:p>
    <w:p>
      <w:pPr>
        <w:sectPr>
          <w:pgSz w:w="11900" w:h="16838" w:orient="portrait"/>
          <w:cols w:equalWidth="0" w:num="1">
            <w:col w:w="9019"/>
          </w:cols>
          <w:pgMar w:left="1440" w:top="157" w:right="1440" w:bottom="0" w:gutter="0" w:footer="0" w:header="0"/>
        </w:sectPr>
      </w:pPr>
    </w:p>
    <w:bookmarkStart w:id="157" w:name="page158"/>
    <w:bookmarkEnd w:id="157"/>
    <w:p>
      <w:pPr>
        <w:spacing w:after="0" w:line="1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Conversion is mandatory upon the occurrence of either: (i) an initial public offering (“IPO”) resulting in at least $100.0 million in proceeds to the Company, net of underwriting discount and commissions, provided that the Series E redeemable convertible preferred stock will only automatically convert if such IPO is also at a price per share of at least $12.26 or (ii) the date and time, or the occurrence of an event, specified by vote or written consent of the holders of a majority of the outstanding shares of redeemable convertible preferred stock, which must include Series E holders. The mandatory conversion is subject to the then-effective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-634365</wp:posOffset>
            </wp:positionV>
            <wp:extent cx="716026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Liquidation Preference</w:t>
      </w:r>
    </w:p>
    <w:p>
      <w:pPr>
        <w:spacing w:after="0" w:line="14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winding up of the Company, or any Deemed Liquidation Event, first the holders of the Series E redeemable convertible preferred stock are entitled to receive proceeds in an amount which is the greater of: (x) the amount to be received if the redeemable convertible preferred stock were converted into common stock immediately prior to the event, and (y) the original issue price plus declared and unpaid dividends. If the distribution is insufficient to pay the holders the full amount to which they are entitled, the holders of Series E convertible redeemable preferred stock will share ratably in any distribution of assets in proportion to the shares held. After full payment to the Series E holders, the Series D holders are entitled to receive proceeds using the same formula as described for the Series E holders above. After full payment to the Series D holders, the holders of the Series A, Series B, and Series C redeemable convertible preferred stock are entitled to the remaining funds available for distribution up to the greater of: (x) the amount to be received if the redeemable convertible preferred stock were converted into common stock immediately prior to the event, and (y) the original issue price plus declared and unpaid dividends. If the distribution is insufficient to pay the holders the full amount to which they are entitled, the holders of the Series A, Series B, and Series C redeemable convertible preferred stock will share ratably in any distribution of assets in proportion to the shares held.</w:t>
      </w:r>
    </w:p>
    <w:p>
      <w:pPr>
        <w:spacing w:after="0" w:line="1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Redemption Rights</w:t>
      </w:r>
    </w:p>
    <w:p>
      <w:pPr>
        <w:spacing w:after="0" w:line="142"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Holders of the redeemable convertible preferred stock have redemption rights in the case of a Deemed Liquidation Event, where the redeemable convertible preferred stockholders are entitled to proceeds as described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160" w:right="1739"/>
        <w:spacing w:after="0" w:line="292" w:lineRule="auto"/>
        <w:rPr>
          <w:sz w:val="20"/>
          <w:szCs w:val="20"/>
          <w:color w:val="auto"/>
        </w:rPr>
      </w:pPr>
      <w:r>
        <w:rPr>
          <w:rFonts w:ascii="Times New Roman" w:cs="Times New Roman" w:eastAsia="Times New Roman" w:hAnsi="Times New Roman"/>
          <w:sz w:val="14"/>
          <w:szCs w:val="14"/>
          <w:color w:val="auto"/>
        </w:rPr>
        <w:t>above. A Deemed Liquidation Event is deemed to be in the control of the redeemable convertible preferred stockholders as the redeemable convertible preferred stockholders control the Board.</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There are no redemption rights held by the Company as it relates to the redeemable convertible preferred stock.</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Protective Provisions</w:t>
      </w:r>
    </w:p>
    <w:p>
      <w:pPr>
        <w:spacing w:after="0" w:line="142"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Series A, Series B, Series C, Series D, and Series E redeemable convertible preferred stockholders each as a separate class have the ability to elect one member of the Board, for a total of five Board members. Additionally, the Series A, Series B, Series C, Series D, and Series E redeemable convertible preferred stock have protective rights that require a majority vote on matters such as liquidation events, changes to capital stock, changes to the number of directors on the Board, or sales of significant assets outside the ordinary course of business.</w:t>
      </w:r>
    </w:p>
    <w:p>
      <w:pPr>
        <w:spacing w:after="0" w:line="99"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The Series D redeemable convertible preferred stock includes protective rights requiring a majority vote on matters such as those adversely impacting the rights of the Series D redeemable convertible preferred stock, including those that impact the authorized number of Series D redeemable convertible preferred stock.</w:t>
      </w:r>
    </w:p>
    <w:p>
      <w:pPr>
        <w:spacing w:after="0" w:line="9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Series E redeemable convertible preferred stock includes protective rights requiring a majority vote on matters such as liquidation events unless Series E-1 holders receive at least 1.5 times the original issue price per share until December 4, 2027, matters which adversely impact the rights of the Series E redeemable convertible stock holders, including those that impact the authorized number of Series E redeemable convertible preferred stock, and those that impact the authorized number of Series D redeemable convertible preferred stock.</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Classification of Redeemable Convertible Preferred Stock</w:t>
      </w:r>
    </w:p>
    <w:p>
      <w:pPr>
        <w:spacing w:after="0" w:line="142"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Although the Company’s redeemable convertible preferred stock is not mandatorily redeemable, it is classified outside of permanent equity because it is redeemable upon a Deemed Liquidation Event considered to be outside of the Company’s control. Accordingly, redeemable convertible preferred stock is presented as mezzanine equity on the Consolidated Balance Sheets.</w:t>
      </w:r>
    </w:p>
    <w:p>
      <w:pPr>
        <w:spacing w:after="0" w:line="97"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The redeemable convertible preferred stock is not remeasured to redemption value because a Deemed Liquidation Event is not deemed probable of occurring as of December 31, 2025 and 2024 , and therefore, these instruments were not deemed probable of becoming redeemable.</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10 – STOCK BASED COMPENSATION</w:t>
      </w:r>
    </w:p>
    <w:p>
      <w:pPr>
        <w:spacing w:after="0" w:line="142"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In 2019, the Company adopted a stock incentive plan (the “2019 Stock Incentive Plan” or the “Plan”). Awards in the form of both incentive and non-qualified stock options, restricted stock, stock appreciation rights and other stock-based awards may be made under the Plan.</w:t>
      </w:r>
    </w:p>
    <w:p>
      <w:pPr>
        <w:spacing w:after="0" w:line="9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In 2025, the Plan was amended to authorize additional shares that can be issued under the Plan, for up to 43,512,256 shares of common stock. In the event that shares previously issued under the Plan are reacquired by the Company pursuant to a forfeiture provision, or repurchase by the Company, such shares shall be added back to the number of shares then available for issuance under the Plan. Shares issued under the Plan may consist in whole or in part of authorized but unissued shares or treasury shares. As of December 31, 2025 and 2024 , 15,558,217 and 10,949,131 shares, respectively, were available for issuance under the Plan, and 280,000 shares were reserved for restricted stock.</w:t>
      </w:r>
    </w:p>
    <w:p>
      <w:pPr>
        <w:spacing w:after="0" w:line="101"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As of December 31, 2025 , all outstanding stock-based awards were in the form of stock options issued to employees. Options granted under the Plan are exercisable at various dates as determined upon grant and will expire 10 years from the date of grant. The exercise price of each option is determined by the Board based on the estimated fair value of the Company’s stock on the date of the grant. The exercise price shall not be less than 100% of the fair market value of the Company’s common stock at the time the option is granted. The stock options issued under the Plan generally vest over a four-year period, with a one year cliff vest and monthly vesting thereafter until the four year anniversary of the grant date. The impact of stock option exercises on cash flows is reflected in the financing section of the Consolidated Statements of Cash Flows . The Company issues common stock upon the exercise of stock options.</w:t>
      </w:r>
    </w:p>
    <w:p>
      <w:pPr>
        <w:sectPr>
          <w:pgSz w:w="11900" w:h="16853" w:orient="portrait"/>
          <w:cols w:equalWidth="0" w:num="1">
            <w:col w:w="9019"/>
          </w:cols>
          <w:pgMar w:left="1440" w:top="94" w:right="1440" w:bottom="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ectPr>
          <w:pgSz w:w="11900" w:h="16853" w:orient="portrait"/>
          <w:cols w:equalWidth="0" w:num="1">
            <w:col w:w="9019"/>
          </w:cols>
          <w:pgMar w:left="1440" w:top="94" w:right="1440" w:bottom="0" w:gutter="0" w:footer="0" w:header="0"/>
          <w:type w:val="continuous"/>
        </w:sectPr>
      </w:pPr>
    </w:p>
    <w:bookmarkStart w:id="158" w:name="page159"/>
    <w:bookmarkEnd w:id="158"/>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stock option activity under the Plan:</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 –</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w:t>
            </w:r>
          </w:p>
        </w:tc>
        <w:tc>
          <w:tcPr>
            <w:tcW w:w="12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w:t>
            </w:r>
          </w:p>
        </w:tc>
        <w:tc>
          <w:tcPr>
            <w:tcW w:w="90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(Stock options data and aggregate intrinsic</w:t>
            </w: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40" w:type="dxa"/>
            <w:vAlign w:val="bottom"/>
          </w:tcPr>
          <w:p>
            <w:pPr>
              <w:spacing w:after="0"/>
              <w:rPr>
                <w:sz w:val="10"/>
                <w:szCs w:val="10"/>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22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900" w:type="dxa"/>
            <w:vAlign w:val="bottom"/>
            <w:gridSpan w:val="3"/>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90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value in thousands)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84"/>
        </w:trPr>
        <w:tc>
          <w:tcPr>
            <w:tcW w:w="2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OutstandingatJanuary1,2025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16,666</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Exercised</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98"/>
        </w:trPr>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OutstandingatDecember31,2025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65,348</w:t>
            </w: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jc w:val="right"/>
              <w:ind w:right="571"/>
              <w:spacing w:after="0" w:line="124" w:lineRule="exact"/>
              <w:rPr>
                <w:sz w:val="20"/>
                <w:szCs w:val="20"/>
                <w:color w:val="auto"/>
              </w:rPr>
            </w:pPr>
            <w:r>
              <w:rPr>
                <w:rFonts w:ascii="Times New Roman" w:cs="Times New Roman" w:eastAsia="Times New Roman" w:hAnsi="Times New Roman"/>
                <w:sz w:val="14"/>
                <w:szCs w:val="14"/>
                <w:color w:val="auto"/>
              </w:rPr>
              <w:t>Vested and exercisable at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w:t>
            </w:r>
          </w:p>
        </w:tc>
        <w:tc>
          <w:tcPr>
            <w:tcW w:w="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B4B4B4"/>
              </w:rPr>
              <w:t>..........................</w:t>
            </w: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intrinsic value for options exercised is the difference between the estimated fair value of the stock and the</w:t>
      </w:r>
    </w:p>
    <w:p>
      <w:pPr>
        <w:spacing w:after="0" w:line="25"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4"/>
          <w:szCs w:val="14"/>
          <w:color w:val="auto"/>
        </w:rPr>
        <w:t>exercise price of the stock option at the date of exercise. The Company received $0.5 million, and $0.1 million, respectively, in cash from the exercise of stock options during the years ended December 31, 2025 and 2024.</w:t>
      </w:r>
    </w:p>
    <w:p>
      <w:pPr>
        <w:spacing w:after="0" w:line="94" w:lineRule="exact"/>
        <w:rPr>
          <w:sz w:val="20"/>
          <w:szCs w:val="20"/>
          <w:color w:val="auto"/>
        </w:rPr>
      </w:pPr>
    </w:p>
    <w:p>
      <w:pPr>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The Black-Scholes option-pricing model assumptions used to value the employee stock options at the grant dates were as follows: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4780" w:type="dxa"/>
            <w:vAlign w:val="bottom"/>
          </w:tcPr>
          <w:p>
            <w:pPr>
              <w:spacing w:after="0"/>
              <w:rPr>
                <w:sz w:val="13"/>
                <w:szCs w:val="13"/>
                <w:color w:val="auto"/>
              </w:rPr>
            </w:pPr>
          </w:p>
        </w:tc>
        <w:tc>
          <w:tcPr>
            <w:tcW w:w="19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1"/>
        </w:trPr>
        <w:tc>
          <w:tcPr>
            <w:tcW w:w="4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000000"/>
              </w:rPr>
              <w:t>Fairvalueofcommonstock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$2.12 - $4.25</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0.98</w:t>
            </w:r>
          </w:p>
        </w:tc>
      </w:tr>
      <w:tr>
        <w:trPr>
          <w:trHeight w:val="178"/>
        </w:trPr>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 xml:space="preserve">Expected volatility </w:t>
            </w:r>
            <w:r>
              <w:rPr>
                <w:rFonts w:ascii="Times New Roman" w:cs="Times New Roman" w:eastAsia="Times New Roman" w:hAnsi="Times New Roman"/>
                <w:sz w:val="13"/>
                <w:szCs w:val="13"/>
                <w:color w:val="B4B4B4"/>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70.0 %</w:t>
            </w:r>
          </w:p>
        </w:tc>
      </w:tr>
      <w:tr>
        <w:trPr>
          <w:trHeight w:val="26"/>
        </w:trPr>
        <w:tc>
          <w:tcPr>
            <w:tcW w:w="4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4"/>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Expected term (in years) </w:t>
            </w:r>
            <w:r>
              <w:rPr>
                <w:rFonts w:ascii="Times New Roman" w:cs="Times New Roman" w:eastAsia="Times New Roman" w:hAnsi="Times New Roman"/>
                <w:sz w:val="13"/>
                <w:szCs w:val="13"/>
                <w:color w:val="B4B4B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3.08 - 6.08</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3.08</w:t>
            </w:r>
          </w:p>
        </w:tc>
      </w:tr>
      <w:tr>
        <w:trPr>
          <w:trHeight w:val="167"/>
        </w:trPr>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Risk-free interest rate </w:t>
            </w:r>
            <w:r>
              <w:rPr>
                <w:rFonts w:ascii="Times New Roman" w:cs="Times New Roman" w:eastAsia="Times New Roman" w:hAnsi="Times New Roman"/>
                <w:sz w:val="13"/>
                <w:szCs w:val="13"/>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 - 4.25%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8"/>
              </w:rPr>
              <w:t>4.6 %</w:t>
            </w:r>
          </w:p>
        </w:tc>
      </w:tr>
      <w:tr>
        <w:trPr>
          <w:trHeight w:val="37"/>
        </w:trPr>
        <w:tc>
          <w:tcPr>
            <w:tcW w:w="4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7"/>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xml:space="preserve">Expected dividend yield </w:t>
            </w:r>
            <w:r>
              <w:rPr>
                <w:rFonts w:ascii="Times New Roman" w:cs="Times New Roman" w:eastAsia="Times New Roman" w:hAnsi="Times New Roman"/>
                <w:sz w:val="13"/>
                <w:szCs w:val="13"/>
                <w:color w:val="B4B4B4"/>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8"/>
              </w:rPr>
              <w:t>0.0 %</w:t>
            </w:r>
          </w:p>
        </w:tc>
      </w:tr>
      <w:tr>
        <w:trPr>
          <w:trHeight w:val="37"/>
        </w:trPr>
        <w:tc>
          <w:tcPr>
            <w:tcW w:w="47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assumptions and estimates were determined as follows:</w:t>
      </w:r>
    </w:p>
    <w:p>
      <w:pPr>
        <w:spacing w:after="0" w:line="13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Fair Value Per Share of the Company’s Common Stock </w:t>
      </w:r>
      <w:r>
        <w:rPr>
          <w:rFonts w:ascii="Times New Roman" w:cs="Times New Roman" w:eastAsia="Times New Roman" w:hAnsi="Times New Roman"/>
          <w:sz w:val="14"/>
          <w:szCs w:val="14"/>
          <w:color w:val="auto"/>
        </w:rPr>
        <w:t>—Because the Company’s common stock is not yet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publicly traded, the Company must estimate the fair value of its common stock. The Board considers numerous objective and subjective factors to determine the fair value of the Company’s common stock at each meeting in which awards are approved. The factors considered include, but are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the Company’s actual operating and financial performance and estimated trends and prospects for its future performance current business conditions and financial projections, (v) the likelihood of achieving a liquidity event, such as an IPO, direct listing, or sale of the Company, given prevailing market conditions; and (vi) precedent transactions involving the Company’s shares.</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Stock-Based Compensation Expense</w:t>
      </w:r>
    </w:p>
    <w:p>
      <w:pPr>
        <w:spacing w:after="0" w:line="142"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During the years ended December 31, 2025 and 2024 , the Company recorded $2.7 million and $1.4 million, respectively, as stock-based compensation in the general and administrative expenses in the Consolidated Statements of Operations.</w:t>
      </w:r>
    </w:p>
    <w:p>
      <w:pPr>
        <w:spacing w:after="0" w:line="93"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2025 , unrecognized stock-based compensation expense related to unvested stock options was $24.4 million, which is expected to be recognized over a weighted-average period of 3.63 years.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11 – CONVERTIBLE NOTES</w:t>
      </w:r>
    </w:p>
    <w:p>
      <w:pPr>
        <w:spacing w:after="0" w:line="142"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On April 6, 2023, the Company entered into convertible notes (“2023 Notes”) with a principal owner owning greater than 10% of the Company, for a principal amount of $10.0 million in exchange for cash proceeds of $10.0 million. These 2023 Notes accrue interest at a rate of 3.1% per annum and mature on the earlier of April 6, 2025, or upon a Change of Control or Liquidation Event, unless sooner converted in a Qualified Financing Transaction or repaid. Upon consummation of a Qualified Financing Transaction, which consists of any transaction or series of related transactions that results in issuance of a series of preferred stock with aggregate proceeds to the Company of not less than $100.0 million, the 2023 Notes outstanding automatically convert into shares of a series of preferred stock of the Company. The conversion price per share is equal to 85.0% of the relevant financing price per share and the Company bifurcated from the 2023 Notes an embedded derivative representing the conversion. In February 2024, pursuant to the issuance of Series D-1 redeemable convertible preferred stock, a Qualified Financing Transaction occurred and the 2023 Notes converted to Series D-2 redeemable convertible preferred stock, with a value of $12.0 million, which included the $10.0 million face value, $0.3 million in accumulated interest, and the $1.7 million settlement of the embedded derivative. Of the accumulated interest, $0.1 million of interest expense was incurred during the year ended December 31, 2024.</w:t>
      </w:r>
    </w:p>
    <w:p>
      <w:pPr>
        <w:spacing w:after="0" w:line="11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In September 2024, the Company entered into a SAFE with an investor for cash proceeds of $0.5 million (“Development Investment Amount”). Upon consummation of an Equity Financing, which consists of any transaction or series of related transactions that results in issuance of a series of preferred stock with a fixed</w:t>
      </w:r>
    </w:p>
    <w:p>
      <w:pPr>
        <w:sectPr>
          <w:pgSz w:w="11900" w:h="16846" w:orient="portrait"/>
          <w:cols w:equalWidth="0" w:num="1">
            <w:col w:w="9019"/>
          </w:cols>
          <w:pgMar w:left="1440" w:top="952" w:right="1440" w:bottom="0" w:gutter="0" w:footer="0" w:header="0"/>
        </w:sectPr>
      </w:pPr>
    </w:p>
    <w:bookmarkStart w:id="159" w:name="page160"/>
    <w:bookmarkEnd w:id="159"/>
    <w:p>
      <w:pPr>
        <w:spacing w:after="0" w:line="7" w:lineRule="exact"/>
        <w:rPr>
          <w:sz w:val="20"/>
          <w:szCs w:val="20"/>
          <w:color w:val="auto"/>
        </w:rPr>
      </w:pPr>
    </w:p>
    <w:p>
      <w:pPr>
        <w:ind w:left="1160" w:right="1199"/>
        <w:spacing w:after="0" w:line="225" w:lineRule="auto"/>
        <w:rPr>
          <w:sz w:val="20"/>
          <w:szCs w:val="20"/>
          <w:color w:val="auto"/>
        </w:rPr>
      </w:pPr>
      <w:r>
        <w:rPr>
          <w:rFonts w:ascii="Times New Roman" w:cs="Times New Roman" w:eastAsia="Times New Roman" w:hAnsi="Times New Roman"/>
          <w:sz w:val="14"/>
          <w:szCs w:val="14"/>
          <w:color w:val="auto"/>
        </w:rPr>
        <w:t>valuation, the holder of the SAFE has the option to convert the SAFE into shares of a series of preferred stock of the Company. The conversion is based on the Development Investment Amount plus the accrued but unpaid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-161925</wp:posOffset>
            </wp:positionV>
            <wp:extent cx="716026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spacing w:after="0" w:line="256" w:lineRule="auto"/>
        <w:rPr>
          <w:sz w:val="20"/>
          <w:szCs w:val="20"/>
          <w:color w:val="auto"/>
        </w:rPr>
      </w:pPr>
      <w:r>
        <w:rPr>
          <w:rFonts w:ascii="Times New Roman" w:cs="Times New Roman" w:eastAsia="Times New Roman" w:hAnsi="Times New Roman"/>
          <w:sz w:val="14"/>
          <w:szCs w:val="14"/>
          <w:color w:val="auto"/>
        </w:rPr>
        <w:t>interest on the Development Investment Amount at an annual rate of 3.4%, using a conversion price which is the lowest cash price per share paid by cash investors in the Equity Financing multiplied by 85.0%. In December 2024, pursuant to the issuance of Series D-3 redeemable convertible preferred stock, an Equity Financing occurred and the</w:t>
      </w:r>
    </w:p>
    <w:tbl>
      <w:tblPr>
        <w:tblLayout w:type="fixed"/>
        <w:tblInd w:w="1160" w:type="dxa"/>
        <w:tblCellMar>
          <w:top w:w="0" w:type="dxa"/>
          <w:left w:w="0" w:type="dxa"/>
          <w:bottom w:w="0" w:type="dxa"/>
          <w:right w:w="0" w:type="dxa"/>
        </w:tblCellMar>
      </w:tblPr>
      <w:tr>
        <w:trPr>
          <w:trHeight w:val="158"/>
        </w:trPr>
        <w:tc>
          <w:tcPr>
            <w:tcW w:w="62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SAFE was elected to be converted to Series D-4 redeemable convertible preferred stock, with a value of</w:t>
            </w: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$0.6</w:t>
            </w:r>
          </w:p>
        </w:tc>
      </w:tr>
      <w:tr>
        <w:trPr>
          <w:trHeight w:val="18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million.</w:t>
            </w:r>
          </w:p>
        </w:tc>
        <w:tc>
          <w:tcPr>
            <w:tcW w:w="500" w:type="dxa"/>
            <w:vAlign w:val="bottom"/>
          </w:tcPr>
          <w:p>
            <w:pPr>
              <w:spacing w:after="0"/>
              <w:rPr>
                <w:sz w:val="16"/>
                <w:szCs w:val="16"/>
                <w:color w:val="auto"/>
              </w:rPr>
            </w:pPr>
          </w:p>
        </w:tc>
      </w:tr>
    </w:tbl>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12 – WARRANTS</w:t>
      </w:r>
    </w:p>
    <w:p>
      <w:pPr>
        <w:spacing w:after="0" w:line="142"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As of December 31, 2025 , the Company had 3,550,329 Warrants outstanding. The Warrants were issued on October 6, 2025 in connection with the issuance of Class A Units (“Intermediate Class A Units”) issued by Cape Phase 1 Intermediate HoldCo, LLC (“Cape P1 Intermediate HoldCo”) to Centaurus Capital LP (“the Holder” or “Centaurus”) and entitle Centaurus to purchase shares of the Company’s most senior class of preferred stock outstanding at the time of exercise based on liquidation preference. The Intermediate Class A Units are further discussed in Note 14 - Noncontrolling Interests.</w:t>
      </w:r>
    </w:p>
    <w:p>
      <w:pPr>
        <w:spacing w:after="0" w:line="10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Warrants are freestanding financial instruments that have a fixed exercise price of $5.28 per share. The Warrants may be exercised at any time by the holder prior to (i) the fourth anniversary of the issuance date or (ii) immediately prior to the completion of a firm commitment underwritten initial public offering. The Warrants may be exercised by payment of the aggregate exercise price, exercised on a cashless basis whereby the number of shares issued is determined based on the excess of the fair value of the underlying shares over the exercise price and no cash consideration is paid by the holder to the Company. The Warrants may expire unexercised if the exercise conditions are not met.</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Upon the occurrence of an acquisition or similar transaction, if the surviving or successor entity assumes the obligations of the Warrants, the Warrants remain outstanding and convert into the right to receive the same form and amount of securities, cash, or other consideration that the holder would have received had the Warrants been exercised immediately prior to the transaction. If the Warrants are not assumed, the Warrants terminate and the holder becomes entitled to receive consideration equal to the excess, if any, of the value of the underlying shares over the aggregate exercise price.</w:t>
      </w:r>
    </w:p>
    <w:p>
      <w:pPr>
        <w:spacing w:after="0" w:line="101"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Warrants are exercisable for preferred stock that is contingently redeemable under circumstances outside the Company’s control and are classified as mezzanine equity. Therefore, the Warrants are classified as liabilities in accordance with ASC 480, and are recorded at fair value, with changes in fair value recognized in earnings each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4"/>
          <w:szCs w:val="14"/>
          <w:color w:val="auto"/>
        </w:rPr>
        <w:t>reporting period. Upon issuance, the Warrants were recorded at a fair value of $6.8 million. During the year ended December 31, 2025 , the Company recognized a loss due to the valuation of the Warrants of $3.4 million which is reflected within Other non-operating expense in the Consolidated Statements of Operations . As of December 31,</w:t>
      </w:r>
    </w:p>
    <w:p>
      <w:pPr>
        <w:spacing w:after="0" w:line="2" w:lineRule="exact"/>
        <w:rPr>
          <w:sz w:val="20"/>
          <w:szCs w:val="20"/>
          <w:color w:val="auto"/>
        </w:rPr>
      </w:pPr>
    </w:p>
    <w:p>
      <w:pPr>
        <w:ind w:left="1160" w:right="1359"/>
        <w:spacing w:after="0" w:line="272" w:lineRule="auto"/>
        <w:rPr>
          <w:sz w:val="20"/>
          <w:szCs w:val="20"/>
          <w:color w:val="auto"/>
        </w:rPr>
      </w:pPr>
      <w:r>
        <w:rPr>
          <w:rFonts w:ascii="Times New Roman" w:cs="Times New Roman" w:eastAsia="Times New Roman" w:hAnsi="Times New Roman"/>
          <w:sz w:val="14"/>
          <w:szCs w:val="14"/>
          <w:color w:val="auto"/>
        </w:rPr>
        <w:t>2025, the fair value of the Warrants was approximately $10.2 million and is recorded within Other long-term liabilities in the Consolidated Balance Sheets.</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 and Settlement Amounts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Upon issuance, the Warrants were measured at fair value using a Black-Scholes option pricing model which only considered a going concern scenario. As of December 31, 2025, the Warrants were measured at fair value using a Black-Scholes option pricing model, weighted between a going concern scenario and IPO scenario. The Company estimated the valuation of the Warrants using the following assumptions: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At issuance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October 6, 2025</w:t>
            </w:r>
          </w:p>
        </w:tc>
        <w:tc>
          <w:tcPr>
            <w:tcW w:w="0" w:type="dxa"/>
            <w:vAlign w:val="bottom"/>
          </w:tcPr>
          <w:p>
            <w:pPr>
              <w:spacing w:after="0"/>
              <w:rPr>
                <w:sz w:val="1"/>
                <w:szCs w:val="1"/>
                <w:color w:val="auto"/>
              </w:rPr>
            </w:pPr>
          </w:p>
        </w:tc>
      </w:tr>
      <w:tr>
        <w:trPr>
          <w:trHeight w:val="193"/>
        </w:trPr>
        <w:tc>
          <w:tcPr>
            <w:tcW w:w="4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w w:val="90"/>
              </w:rPr>
              <w:t>..................................................................</w:t>
            </w:r>
            <w:r>
              <w:rPr>
                <w:rFonts w:ascii="Times New Roman" w:cs="Times New Roman" w:eastAsia="Times New Roman" w:hAnsi="Times New Roman"/>
                <w:sz w:val="14"/>
                <w:szCs w:val="14"/>
                <w:color w:val="000000"/>
                <w:w w:val="90"/>
              </w:rPr>
              <w:t>SeriesD-3RedeemableConvertiblePreferredStockprice</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6"/>
              </w:rPr>
              <w:t xml:space="preserve">Expected volatility </w:t>
            </w:r>
            <w:r>
              <w:rPr>
                <w:rFonts w:ascii="Times New Roman" w:cs="Times New Roman" w:eastAsia="Times New Roman" w:hAnsi="Times New Roman"/>
                <w:sz w:val="14"/>
                <w:szCs w:val="14"/>
                <w:color w:val="B4B4B4"/>
                <w:w w:val="86"/>
              </w:rPr>
              <w:t>................................................................................................................................</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7"/>
              </w:rPr>
              <w:t xml:space="preserve">Expected term (in years) </w:t>
            </w:r>
            <w:r>
              <w:rPr>
                <w:rFonts w:ascii="Times New Roman" w:cs="Times New Roman" w:eastAsia="Times New Roman" w:hAnsi="Times New Roman"/>
                <w:sz w:val="14"/>
                <w:szCs w:val="14"/>
                <w:color w:val="B4B4B4"/>
                <w:w w:val="87"/>
              </w:rPr>
              <w:t>......................................................................................................................</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6"/>
              </w:rPr>
              <w:t xml:space="preserve">Risk-free interest rate </w:t>
            </w:r>
            <w:r>
              <w:rPr>
                <w:rFonts w:ascii="Times New Roman" w:cs="Times New Roman" w:eastAsia="Times New Roman" w:hAnsi="Times New Roman"/>
                <w:sz w:val="14"/>
                <w:szCs w:val="14"/>
                <w:color w:val="B4B4B4"/>
                <w:w w:val="86"/>
              </w:rPr>
              <w:t>............................................................................................................................</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7"/>
              </w:rPr>
              <w:t>Expected dividend yield</w:t>
            </w:r>
            <w:r>
              <w:rPr>
                <w:rFonts w:ascii="Times New Roman" w:cs="Times New Roman" w:eastAsia="Times New Roman" w:hAnsi="Times New Roman"/>
                <w:sz w:val="14"/>
                <w:szCs w:val="14"/>
                <w:color w:val="B4B4B4"/>
                <w:w w:val="87"/>
              </w:rPr>
              <w:t>........................................................................................................................</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371"/>
        </w:trPr>
        <w:tc>
          <w:tcPr>
            <w:tcW w:w="4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Going concern</w:t>
            </w:r>
          </w:p>
        </w:tc>
        <w:tc>
          <w:tcPr>
            <w:tcW w:w="1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IPO scenario</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scenario</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7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SeriesD-3RedeemableConvertiblePreferredStockprice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8.17</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Expected term (in years)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Expected dividend yield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318"/>
        </w:trPr>
        <w:tc>
          <w:tcPr>
            <w:tcW w:w="656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Due to the use of significant unobservable inputs of stock price, volatility and expected term in the valuation,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7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Warrants are classified within Level 3 of the fair value hierarchy. Accordingly, significant judgment is required</w:t>
            </w:r>
          </w:p>
        </w:tc>
        <w:tc>
          <w:tcPr>
            <w:tcW w:w="0" w:type="dxa"/>
            <w:vAlign w:val="bottom"/>
          </w:tcPr>
          <w:p>
            <w:pPr>
              <w:spacing w:after="0"/>
              <w:rPr>
                <w:sz w:val="1"/>
                <w:szCs w:val="1"/>
                <w:color w:val="auto"/>
              </w:rPr>
            </w:pPr>
          </w:p>
        </w:tc>
      </w:tr>
      <w:tr>
        <w:trPr>
          <w:trHeight w:val="172"/>
        </w:trPr>
        <w:tc>
          <w:tcPr>
            <w:tcW w:w="6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 selecting these assumptions. Actual assumptions may differ from the Company’s current estimates and such</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differences could materially impact the fair value of the Warrants.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57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Changes in the fair value of the Company’s equity directly affects the fair value of the Warrants.</w:t>
            </w: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No Warrants</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have been exercised as of December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13 – VARIABLE INTEREST ENTITY</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6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The Company evaluated its interests in certain legal entities and determined that Cape Phase 1 HoldCo, LLC</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(“Cape P1 HoldCo”) and Cape P1 Intermediate HoldCo are VIEs under ASC 810</w:t>
            </w:r>
          </w:p>
        </w:tc>
        <w:tc>
          <w:tcPr>
            <w:tcW w:w="19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as of December 31, 2025 . The</w:t>
            </w:r>
          </w:p>
        </w:tc>
        <w:tc>
          <w:tcPr>
            <w:tcW w:w="0" w:type="dxa"/>
            <w:vAlign w:val="bottom"/>
          </w:tcPr>
          <w:p>
            <w:pPr>
              <w:spacing w:after="0"/>
              <w:rPr>
                <w:sz w:val="1"/>
                <w:szCs w:val="1"/>
                <w:color w:val="auto"/>
              </w:rPr>
            </w:pPr>
          </w:p>
        </w:tc>
      </w:tr>
      <w:tr>
        <w:trPr>
          <w:trHeight w:val="186"/>
        </w:trPr>
        <w:tc>
          <w:tcPr>
            <w:tcW w:w="6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Company concluded that it is the primary beneficiary of these VIEs because it has (i) the power to direct the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60" w:right="1179"/>
        <w:spacing w:after="0" w:line="256" w:lineRule="auto"/>
        <w:rPr>
          <w:sz w:val="20"/>
          <w:szCs w:val="20"/>
          <w:color w:val="auto"/>
        </w:rPr>
      </w:pPr>
      <w:r>
        <w:rPr>
          <w:rFonts w:ascii="Times New Roman" w:cs="Times New Roman" w:eastAsia="Times New Roman" w:hAnsi="Times New Roman"/>
          <w:sz w:val="14"/>
          <w:szCs w:val="14"/>
          <w:color w:val="auto"/>
        </w:rPr>
        <w:t>activities that most significantly impact these VIEs’ economic performance and (ii) the obligation to absorb losses or the right to receive benefits that could potentially be significant to these VIEs. The Company holds its interest in Cape P1 Intermediate HoldCo through other consolidated subsidiaries. Cape P1 HoldCo is consolidated into Cape</w:t>
      </w:r>
    </w:p>
    <w:tbl>
      <w:tblPr>
        <w:tblLayout w:type="fixed"/>
        <w:tblInd w:w="1160" w:type="dxa"/>
        <w:tblCellMar>
          <w:top w:w="0" w:type="dxa"/>
          <w:left w:w="0" w:type="dxa"/>
          <w:bottom w:w="0" w:type="dxa"/>
          <w:right w:w="0" w:type="dxa"/>
        </w:tblCellMar>
      </w:tblPr>
      <w:tr>
        <w:trPr>
          <w:trHeight w:val="158"/>
        </w:trPr>
        <w:tc>
          <w:tcPr>
            <w:tcW w:w="1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w w:val="94"/>
              </w:rPr>
              <w:t>P1</w:t>
            </w:r>
          </w:p>
        </w:tc>
        <w:tc>
          <w:tcPr>
            <w:tcW w:w="65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Intermediate HoldCo as the direct owner of its equity interests. Accordingly, the Company has consolidated Cape</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4"/>
              </w:rPr>
              <w:t>P1</w:t>
            </w: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HoldCo and Cape P1 Intermediate HoldCo in the accompanying</w:t>
            </w: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consolidated financial statements  and</w:t>
            </w:r>
          </w:p>
        </w:tc>
      </w:tr>
    </w:tbl>
    <w:p>
      <w:pPr>
        <w:ind w:left="1160"/>
        <w:spacing w:after="0"/>
        <w:rPr>
          <w:sz w:val="20"/>
          <w:szCs w:val="20"/>
          <w:color w:val="auto"/>
        </w:rPr>
      </w:pPr>
      <w:r>
        <w:rPr>
          <w:rFonts w:ascii="Times New Roman" w:cs="Times New Roman" w:eastAsia="Times New Roman" w:hAnsi="Times New Roman"/>
          <w:sz w:val="14"/>
          <w:szCs w:val="14"/>
          <w:color w:val="auto"/>
        </w:rPr>
        <w:t>recognized noncontrolling interests related to these VIEs. Refer to Note 14 – Noncontrolling Interests.</w:t>
      </w:r>
    </w:p>
    <w:p>
      <w:pPr>
        <w:sectPr>
          <w:pgSz w:w="11900" w:h="16845" w:orient="portrait"/>
          <w:cols w:equalWidth="0" w:num="1">
            <w:col w:w="9019"/>
          </w:cols>
          <w:pgMar w:left="1440" w:top="94" w:right="1440" w:bottom="0" w:gutter="0" w:footer="0" w:header="0"/>
        </w:sectPr>
      </w:pPr>
    </w:p>
    <w:bookmarkStart w:id="160" w:name="page161"/>
    <w:bookmarkEnd w:id="160"/>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assets of Cape P1 HoldCo and Cape P1 Intermediate HoldCo may only be used to settle the obligations of the respective VIEs, and creditors of these entities do not have recourse to the general credit of the Company. The Company’s maximum exposure to loss as a result of its involvement with these VIEs is limited to its investment in the entities and any contractual arrangements that require the Company to provide financial support. The Company’s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jc w:val="both"/>
        <w:ind w:left="1160" w:right="1159"/>
        <w:spacing w:after="0" w:line="268" w:lineRule="auto"/>
        <w:rPr>
          <w:sz w:val="20"/>
          <w:szCs w:val="20"/>
          <w:color w:val="auto"/>
        </w:rPr>
      </w:pPr>
      <w:r>
        <w:rPr>
          <w:rFonts w:ascii="Times New Roman" w:cs="Times New Roman" w:eastAsia="Times New Roman" w:hAnsi="Times New Roman"/>
          <w:sz w:val="14"/>
          <w:szCs w:val="14"/>
          <w:color w:val="auto"/>
        </w:rPr>
        <w:t>ongoing financial support includes a capital commitment totaling to $ 161.2 million for Cape P1 HoldCo. T he Company also has construction capital commitments of $207.7 million to fund future construction costs and support the ongoing operations of its project subsidiaries, as well as three maintenance capital commitments totaling $ 35.7 million for Cape P1 Intermediate HoldCo.</w:t>
      </w:r>
    </w:p>
    <w:p>
      <w:pPr>
        <w:spacing w:after="0" w:line="97"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Management reassesses its involvement with Cape P1 HoldCo and Cape P1 Intermediate HoldCo on an ongoing basis to determine whether the Company continues to be the primary beneficiary, including consideration of changes in governance, contractual arrangements, financing structures, or other facts and circumstances that could affect the Company’s consolidation conclusions. The Company will also reassess whether Cape P1 HoldCo and Cape P1 Intermediate HoldCo continue to be VIEs upon the occurrence of a reconsideration event.</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14 – NONCONTROLLING INTERESTS</w:t>
      </w:r>
    </w:p>
    <w:p>
      <w:pPr>
        <w:spacing w:after="0" w:line="142"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As discussed in Note 13 – Variable Interest Entity , the Company has consolidated Cape P1 HoldCo and Cape P1 Intermediate HoldCo, which were determined to be VIEs for which the Company is the primary beneficiary. Both entities issued Class A Units to third party-investors that represent equity interests in the respective consolidated subsidiaries. Because the Company does not own 100% of the outstanding equity in these entities, the Class A Units are accounted for as noncontrolling interests in the consolidated financial statements.</w:t>
      </w:r>
    </w:p>
    <w:p>
      <w:pPr>
        <w:spacing w:after="0" w:line="99"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Class A Units issued by Cape P1 HoldCo (“CP1 HoldCo Class A Units”) and Intermediate Class A Units contain redemption features that are outside the control of the respective issuers but are contingent upon the availability of distributable cash. Accordingly, these Class A Units are classified as redeemable noncontrolling interest and are presented as mezzanine equity on the Consolidated Balance Sheets.</w:t>
      </w:r>
    </w:p>
    <w:p>
      <w:pPr>
        <w:spacing w:after="0" w:line="97" w:lineRule="exact"/>
        <w:rPr>
          <w:sz w:val="20"/>
          <w:szCs w:val="20"/>
          <w:color w:val="auto"/>
        </w:rPr>
      </w:pPr>
    </w:p>
    <w:p>
      <w:pPr>
        <w:ind w:left="1160" w:right="1199" w:firstLine="258"/>
        <w:spacing w:after="0" w:line="266" w:lineRule="auto"/>
        <w:rPr>
          <w:sz w:val="20"/>
          <w:szCs w:val="20"/>
          <w:color w:val="auto"/>
        </w:rPr>
      </w:pPr>
      <w:r>
        <w:rPr>
          <w:rFonts w:ascii="Times New Roman" w:cs="Times New Roman" w:eastAsia="Times New Roman" w:hAnsi="Times New Roman"/>
          <w:sz w:val="14"/>
          <w:szCs w:val="14"/>
          <w:color w:val="auto"/>
        </w:rPr>
        <w:t>The distributions of available cash related to Cape P1 HoldCo are first made to the holders of the CP1 HoldCo Class A Units in satisfaction of any accumulated and unpaid yield associated with the CP1 HoldCo Class A Units as</w:t>
      </w:r>
    </w:p>
    <w:p>
      <w:pPr>
        <w:spacing w:after="0" w:line="1"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of such time, until the capital balance of the CP1 HoldCo Class A Unit holders has been reduced to $0.00. CP1 HoldCo Class A Units are initially recorded at fair value at the time of issuance, less the direct and incremental issuance costs. The CP1 HoldCo Class A Units are subsequently measured at the current redemption value to the extent such current redemption value exceeds the attribution of income (loss) to the CP1 HoldCo Class A Units.</w:t>
      </w:r>
    </w:p>
    <w:p>
      <w:pPr>
        <w:spacing w:after="0" w:line="10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distributions of available cash and certain tax credits related to Cape P1 Intermediate HoldCo for Intermediate Class A Units are allocated based on the applicable sharing ratio at any given time with a targeted internal rate of return. Intermediate Class A Units are initially recorded at proceeds received less the fair value of the warrants issued along with the Intermediate Class A Units and allocated issuance cost. Intermediate Class A Units are subsequently remeasured at their maximum redemption value, to the extent such amounts exceed the allocation of income or loss attributable to the noncontrolling interest. Additionally, two derivatives were identified as being embedded in the Intermediate Class A Units. Both embedded derivatives had a de minimis fair value at inception</w:t>
      </w:r>
    </w:p>
    <w:p>
      <w:pPr>
        <w:ind w:left="1160" w:right="1259"/>
        <w:spacing w:after="0" w:line="264" w:lineRule="auto"/>
        <w:rPr>
          <w:sz w:val="20"/>
          <w:szCs w:val="20"/>
          <w:color w:val="auto"/>
        </w:rPr>
      </w:pPr>
      <w:r>
        <w:rPr>
          <w:rFonts w:ascii="Times New Roman" w:cs="Times New Roman" w:eastAsia="Times New Roman" w:hAnsi="Times New Roman"/>
          <w:sz w:val="14"/>
          <w:szCs w:val="14"/>
          <w:color w:val="auto"/>
        </w:rPr>
        <w:t>and so no amount was bifurcated at that time. As of December 31, 2025 , conditions relevant to the embedded derivatives was evaluated and one feature was determined to have a fair value of $1.7 million. This amount is included in Other current liabilities.</w:t>
      </w:r>
    </w:p>
    <w:p>
      <w:pPr>
        <w:spacing w:after="0" w:line="99"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is a summary of the changes in redeemable noncontrolling interest for CP1 HoldCo Class A Units for the year ended December 31, 2025:</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5760" w:type="dxa"/>
            <w:vAlign w:val="bottom"/>
          </w:tcPr>
          <w:p>
            <w:pPr>
              <w:jc w:val="right"/>
              <w:ind w:right="4631"/>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Balance at December 31, 2024 </w:t>
            </w:r>
            <w:r>
              <w:rPr>
                <w:rFonts w:ascii="Times New Roman" w:cs="Times New Roman" w:eastAsia="Times New Roman" w:hAnsi="Times New Roman"/>
                <w:sz w:val="14"/>
                <w:szCs w:val="14"/>
                <w:color w:val="B4B4B4"/>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Redeemable noncontrolling interests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99,500</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Remeasurement of redeemable noncontrolling interest</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r>
      <w:tr>
        <w:trPr>
          <w:trHeight w:val="163"/>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BalanceatDecember31,2025</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102,586</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jc w:val="both"/>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is a summary of the changes in redeemable noncontrolling interest for Intermediate Class A Units for the year ended December 31, 2025:</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5760" w:type="dxa"/>
            <w:vAlign w:val="bottom"/>
          </w:tcPr>
          <w:p>
            <w:pPr>
              <w:jc w:val="right"/>
              <w:ind w:right="4631"/>
              <w:spacing w:after="0"/>
              <w:rPr>
                <w:sz w:val="20"/>
                <w:szCs w:val="20"/>
                <w:color w:val="auto"/>
              </w:rPr>
            </w:pPr>
            <w:r>
              <w:rPr>
                <w:rFonts w:ascii="Times New Roman" w:cs="Times New Roman" w:eastAsia="Times New Roman" w:hAnsi="Times New Roman"/>
                <w:sz w:val="11"/>
                <w:szCs w:val="11"/>
                <w:color w:val="auto"/>
              </w:rPr>
              <w:t>(Dollars in thousands)</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Balance at December 31, 2024 </w:t>
            </w:r>
            <w:r>
              <w:rPr>
                <w:rFonts w:ascii="Times New Roman" w:cs="Times New Roman" w:eastAsia="Times New Roman" w:hAnsi="Times New Roman"/>
                <w:sz w:val="14"/>
                <w:szCs w:val="14"/>
                <w:color w:val="B4B4B4"/>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Redeemable noncontrolling interests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67,703</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Remeasurement of redeemable noncontrolling interest</w:t>
            </w:r>
            <w:r>
              <w:rPr>
                <w:rFonts w:ascii="Times New Roman" w:cs="Times New Roman" w:eastAsia="Times New Roman" w:hAnsi="Times New Roman"/>
                <w:sz w:val="14"/>
                <w:szCs w:val="14"/>
                <w:color w:val="B4B4B4"/>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9,641</w:t>
            </w:r>
          </w:p>
        </w:tc>
      </w:tr>
      <w:tr>
        <w:trPr>
          <w:trHeight w:val="163"/>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BalanceatDecember31,2025</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77,344</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15 – SEGMENT INFORMATION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engages in a single line of business focused on commercializing technology to own, develop, and</w:t>
      </w:r>
    </w:p>
    <w:p>
      <w:pPr>
        <w:sectPr>
          <w:pgSz w:w="11900" w:h="16885" w:orient="portrait"/>
          <w:cols w:equalWidth="0" w:num="1">
            <w:col w:w="9019"/>
          </w:cols>
          <w:pgMar w:left="1440" w:top="200" w:right="1440" w:bottom="0" w:gutter="0" w:footer="0" w:header="0"/>
        </w:sectPr>
      </w:pPr>
    </w:p>
    <w:bookmarkStart w:id="161" w:name="page162"/>
    <w:bookmarkEnd w:id="161"/>
    <w:p>
      <w:pPr>
        <w:spacing w:after="0" w:line="50"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operate geothermal assets as the dispatchable foundation to a 100% clean energy future. All of the Company’s assets and operations are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-238760</wp:posOffset>
            </wp:positionV>
            <wp:extent cx="716026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Fervo operates in a single operating and reportable segment, which is consistent with the reporting structure of the Company’s internal organization and the use of the consolidated financial information of Fervo by the Company’s CODM to allocate resources and assess performance. The CODM is the Company’s chief executive officer.</w:t>
      </w:r>
    </w:p>
    <w:p>
      <w:pPr>
        <w:spacing w:after="0" w:line="97"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primary measure of segment profit or loss used by the CODM is net loss, as presented in the Consolidated Statements of Operations . The measure of segment assets is reported on the Consolidated Balance Sheets as total assets. Total expenditures for additions to long-lived assets are as reported in the Consolidated Statements of Cash Flows. The significant segment expenses regularly provided to the CODM and included in the measure of segment profit or loss are those presented in the Consolidated Statements of Operations.</w:t>
      </w:r>
    </w:p>
    <w:p>
      <w:pPr>
        <w:spacing w:after="0" w:line="9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All segment financial information for the Company is as reported on the respective</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consolidated financial</w:t>
            </w:r>
          </w:p>
        </w:tc>
      </w:tr>
      <w:tr>
        <w:trPr>
          <w:trHeight w:val="18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statements.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01"/>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16 – EARNINGS PER SHARE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1"/>
        </w:trPr>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net loss per share is calculated as follows: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5"/>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6"/>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and shares in thousands, except per share amounts)</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Net loss attributable to common shares </w:t>
            </w:r>
            <w:r>
              <w:rPr>
                <w:rFonts w:ascii="Times New Roman" w:cs="Times New Roman" w:eastAsia="Times New Roman" w:hAnsi="Times New Roman"/>
                <w:sz w:val="14"/>
                <w:szCs w:val="14"/>
                <w:color w:val="B4B4B4"/>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(70,515)</w:t>
            </w:r>
          </w:p>
        </w:tc>
        <w:tc>
          <w:tcPr>
            <w:tcW w:w="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w:t>
            </w:r>
          </w:p>
        </w:tc>
      </w:tr>
      <w:tr>
        <w:trPr>
          <w:trHeight w:val="21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8"/>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Weighted-average common shares </w:t>
            </w:r>
            <w:r>
              <w:rPr>
                <w:rFonts w:ascii="Times New Roman" w:cs="Times New Roman" w:eastAsia="Times New Roman" w:hAnsi="Times New Roman"/>
                <w:sz w:val="14"/>
                <w:szCs w:val="14"/>
                <w:color w:val="B4B4B4"/>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12,462</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12,438</w:t>
            </w:r>
          </w:p>
        </w:tc>
      </w:tr>
      <w:tr>
        <w:trPr>
          <w:trHeight w:val="193"/>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Netlosspershare–basicanddiluted</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following potentially dilutive instruments, based on amounts outstanding, that could result in dilution, were excluded from the diluted earnings per share computation because including them would have had an anti-dilutive effect:</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780" w:type="dxa"/>
            <w:vAlign w:val="bottom"/>
          </w:tcPr>
          <w:p>
            <w:pPr>
              <w:spacing w:after="0"/>
              <w:rPr>
                <w:sz w:val="12"/>
                <w:szCs w:val="12"/>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2"/>
        </w:trPr>
        <w:tc>
          <w:tcPr>
            <w:tcW w:w="4780" w:type="dxa"/>
            <w:vAlign w:val="bottom"/>
            <w:tcBorders>
              <w:bottom w:val="single" w:sz="8" w:color="CCEEFF"/>
            </w:tcBorders>
          </w:tcPr>
          <w:p>
            <w:pPr>
              <w:jc w:val="right"/>
              <w:ind w:right="3691"/>
              <w:spacing w:after="0"/>
              <w:rPr>
                <w:sz w:val="20"/>
                <w:szCs w:val="20"/>
                <w:color w:val="auto"/>
              </w:rPr>
            </w:pPr>
            <w:r>
              <w:rPr>
                <w:rFonts w:ascii="Times New Roman" w:cs="Times New Roman" w:eastAsia="Times New Roman" w:hAnsi="Times New Roman"/>
                <w:sz w:val="11"/>
                <w:szCs w:val="11"/>
                <w:color w:val="auto"/>
              </w:rPr>
              <w:t>(Shares in thousands)</w:t>
            </w: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Preferredshares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279,995</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223,458</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Options based awards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26,117</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17,826</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309,662</w:t>
            </w:r>
          </w:p>
        </w:tc>
        <w:tc>
          <w:tcPr>
            <w:tcW w:w="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241,284</w:t>
            </w:r>
          </w:p>
        </w:tc>
      </w:tr>
      <w:tr>
        <w:trPr>
          <w:trHeight w:val="20"/>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17 – GRANT INCOME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Grant income of $0.1 million and $2.7 million attributable to research and development is netted against eligible</w:t>
      </w:r>
    </w:p>
    <w:p>
      <w:pPr>
        <w:spacing w:after="0" w:line="2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expenses in research and development, net in the</w:t>
            </w:r>
          </w:p>
        </w:tc>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Consolidated Statements of Operations  for the</w:t>
            </w: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years ended</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2025 and 2024 , respectively. Grant income totaling</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$14.1 million and  $2.4 million attributable to</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development is netted against construction-in-progress on the</w:t>
            </w:r>
          </w:p>
        </w:tc>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years</w:t>
            </w:r>
          </w:p>
        </w:tc>
      </w:tr>
      <w:tr>
        <w:trPr>
          <w:trHeight w:val="186"/>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ended December 31, 2025 and 2024, respectively.</w:t>
            </w: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15"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In 2024, the Company was awarded a reimbursement-type award from the DOE in the amount of $22.1 million. The effective date of the grant was July 1, 2024 and the contract expires July 1, 2026. Funding under the grant is received as qualifying expenditures are incurred in accordance with the terms of the grant agreement.</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18 – INCOME TAXES</w:t>
      </w:r>
    </w:p>
    <w:p>
      <w:pPr>
        <w:spacing w:after="0" w:line="142"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The Company is responsible for federal and state income taxes in various jurisdictions. Deferred income taxes are calculated for temporary differences using an asset and liability approach. Under this approach, deferred tax assets or liabilities are recognized for the estimated future tax effects attributable to the temporary differences</w:t>
      </w:r>
    </w:p>
    <w:p>
      <w:pPr>
        <w:spacing w:after="0" w:line="2" w:lineRule="exact"/>
        <w:rPr>
          <w:sz w:val="20"/>
          <w:szCs w:val="20"/>
          <w:color w:val="auto"/>
        </w:rPr>
      </w:pPr>
    </w:p>
    <w:p>
      <w:pPr>
        <w:ind w:left="1160" w:right="1199"/>
        <w:spacing w:after="0" w:line="264" w:lineRule="auto"/>
        <w:rPr>
          <w:sz w:val="20"/>
          <w:szCs w:val="20"/>
          <w:color w:val="auto"/>
        </w:rPr>
      </w:pPr>
      <w:r>
        <w:rPr>
          <w:rFonts w:ascii="Times New Roman" w:cs="Times New Roman" w:eastAsia="Times New Roman" w:hAnsi="Times New Roman"/>
          <w:sz w:val="14"/>
          <w:szCs w:val="14"/>
          <w:color w:val="auto"/>
        </w:rPr>
        <w:t>(differences between the tax basis of an asset or liability and its reported amount in consolidated financial statements) and carryforwards, based on provision of the enacted tax law. The Company files income tax returns in the United States and various states.</w:t>
      </w:r>
    </w:p>
    <w:p>
      <w:pPr>
        <w:spacing w:after="0" w:line="99"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As the Company is still in a start-up phase of development, there is nominal current income tax expense and deferred income tax expense for the years ended December 31, 2025 and 2024.</w:t>
      </w:r>
    </w:p>
    <w:p>
      <w:pPr>
        <w:spacing w:after="0" w:line="8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2025 and 2024 , the Company had approximately $85.7 million and $41.2 million, respectively, of net operating loss carryforwards for Federal tax purposes, all of which are indefinitely lived.</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Company’s loss before income tax consisted of:</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6"/>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UnitedStates</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(41,054)</w:t>
            </w:r>
          </w:p>
        </w:tc>
      </w:tr>
      <w:tr>
        <w:trPr>
          <w:trHeight w:val="329"/>
        </w:trPr>
        <w:tc>
          <w:tcPr>
            <w:tcW w:w="4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The components of current and deferred income tax expense included in the</w:t>
            </w:r>
          </w:p>
        </w:tc>
        <w:tc>
          <w:tcPr>
            <w:tcW w:w="20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Consolidated Statements of</w:t>
            </w:r>
          </w:p>
        </w:tc>
      </w:tr>
      <w:tr>
        <w:trPr>
          <w:trHeight w:val="186"/>
        </w:trPr>
        <w:tc>
          <w:tcPr>
            <w:tcW w:w="478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rPr>
              <w:t>Operations for years ended December 31, 2025 and 2024 are as follows: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86"/>
        </w:trPr>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12"/>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State and local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bl>
    <w:p>
      <w:pPr>
        <w:sectPr>
          <w:pgSz w:w="11900" w:h="16888" w:orient="portrait"/>
          <w:cols w:equalWidth="0" w:num="1">
            <w:col w:w="9019"/>
          </w:cols>
          <w:pgMar w:left="1440" w:top="125" w:right="1440" w:bottom="0" w:gutter="0" w:footer="0" w:header="0"/>
        </w:sectPr>
      </w:pPr>
    </w:p>
    <w:bookmarkStart w:id="162" w:name="page163"/>
    <w:bookmarkEnd w:id="162"/>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r>
      <w:tr>
        <w:trPr>
          <w:trHeight w:val="118"/>
        </w:trPr>
        <w:tc>
          <w:tcPr>
            <w:tcW w:w="4780" w:type="dxa"/>
            <w:vAlign w:val="bottom"/>
          </w:tcPr>
          <w:p>
            <w:pPr>
              <w:ind w:left="40"/>
              <w:spacing w:after="0" w:line="118" w:lineRule="exact"/>
              <w:rPr>
                <w:sz w:val="20"/>
                <w:szCs w:val="20"/>
                <w:color w:val="auto"/>
              </w:rPr>
            </w:pPr>
            <w:r>
              <w:rPr>
                <w:rFonts w:ascii="Times New Roman" w:cs="Times New Roman" w:eastAsia="Times New Roman" w:hAnsi="Times New Roman"/>
                <w:sz w:val="11"/>
                <w:szCs w:val="11"/>
                <w:color w:val="auto"/>
              </w:rPr>
              <w:t>(Dolla s in thousands)</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43"/>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
                <w:szCs w:val="2"/>
                <w:color w:val="auto"/>
              </w:rPr>
              <w:t>Deferred:</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8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State and local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7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income tax expense </w:t>
            </w:r>
            <w:r>
              <w:rPr>
                <w:rFonts w:ascii="Times New Roman" w:cs="Times New Roman" w:eastAsia="Times New Roman" w:hAnsi="Times New Roman"/>
                <w:sz w:val="14"/>
                <w:szCs w:val="14"/>
                <w:color w:val="B4B4B4"/>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56</w:t>
            </w:r>
          </w:p>
        </w:tc>
      </w:tr>
      <w:tr>
        <w:trPr>
          <w:trHeight w:val="204"/>
        </w:trPr>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4"/>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4"/>
        </w:trPr>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jc w:val="both"/>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The difference between income tax expense and amounts calculated using the statutory rate of 21% for the years ended December 31, 2025 and 2024 is as follows: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00" w:type="dxa"/>
            <w:vAlign w:val="bottom"/>
          </w:tcPr>
          <w:p>
            <w:pPr>
              <w:spacing w:after="0"/>
              <w:rPr>
                <w:sz w:val="13"/>
                <w:szCs w:val="13"/>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155"/>
        </w:trPr>
        <w:tc>
          <w:tcPr>
            <w:tcW w:w="3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Tax</w:t>
            </w:r>
          </w:p>
        </w:tc>
        <w:tc>
          <w:tcPr>
            <w:tcW w:w="8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Tax</w:t>
            </w: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90"/>
        </w:trPr>
        <w:tc>
          <w:tcPr>
            <w:tcW w:w="3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TaxbenefitatU.S.Federalstatutoryrate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(12,135)</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8"/>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(decrease) in income taxes resulting from:</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Conversion of notes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8"/>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Stock options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taxes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8"/>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valuation allowance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11,667</w:t>
            </w: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8,432</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63"/>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Totaltaxexpense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components of deferred taxes consisted of the following:</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6"/>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9"/>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8"/>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Section 174 costs </w:t>
            </w:r>
            <w:r>
              <w:rPr>
                <w:rFonts w:ascii="Times New Roman" w:cs="Times New Roman" w:eastAsia="Times New Roman" w:hAnsi="Times New Roman"/>
                <w:sz w:val="14"/>
                <w:szCs w:val="14"/>
                <w:color w:val="B4B4B4"/>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9,836</w:t>
            </w:r>
          </w:p>
        </w:tc>
      </w:tr>
      <w:tr>
        <w:trPr>
          <w:trHeight w:val="210"/>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Start-up costs </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w:t>
            </w:r>
          </w:p>
        </w:tc>
      </w:tr>
      <w:tr>
        <w:trPr>
          <w:trHeight w:val="198"/>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NOL carryforward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w:t>
            </w:r>
          </w:p>
        </w:tc>
      </w:tr>
      <w:tr>
        <w:trPr>
          <w:trHeight w:val="210"/>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Lease liability </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w:t>
            </w:r>
          </w:p>
        </w:tc>
      </w:tr>
      <w:tr>
        <w:trPr>
          <w:trHeight w:val="198"/>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Compensation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10"/>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 revenue</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98"/>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Inventory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Investment in partnerships </w:t>
            </w:r>
            <w:r>
              <w:rPr>
                <w:rFonts w:ascii="Times New Roman" w:cs="Times New Roman" w:eastAsia="Times New Roman" w:hAnsi="Times New Roman"/>
                <w:sz w:val="14"/>
                <w:szCs w:val="14"/>
                <w:color w:val="B4B4B4"/>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6"/>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Deferredtaxassets</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68,268</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42,846</w:t>
            </w:r>
          </w:p>
        </w:tc>
      </w:tr>
      <w:tr>
        <w:trPr>
          <w:trHeight w:val="188"/>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4"/>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Intangible drilling costs (IDC) </w:t>
            </w:r>
            <w:r>
              <w:rPr>
                <w:rFonts w:ascii="Times New Roman" w:cs="Times New Roman" w:eastAsia="Times New Roman" w:hAnsi="Times New Roman"/>
                <w:sz w:val="14"/>
                <w:szCs w:val="14"/>
                <w:color w:val="B4B4B4"/>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(9,145)</w:t>
            </w: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r>
      <w:tr>
        <w:trPr>
          <w:trHeight w:val="210"/>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Right of use asset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(12,330)</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180"/>
        </w:trPr>
        <w:tc>
          <w:tcPr>
            <w:tcW w:w="4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Totaldeferredtaxliabilities</w:t>
            </w: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(21,475)</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(7,728)</w:t>
            </w:r>
          </w:p>
        </w:tc>
      </w:tr>
      <w:tr>
        <w:trPr>
          <w:trHeight w:val="188"/>
        </w:trPr>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Netdeferredtaxassets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46,793</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35,118</w:t>
            </w:r>
          </w:p>
        </w:tc>
      </w:tr>
      <w:tr>
        <w:trPr>
          <w:trHeight w:val="198"/>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Valuation allowance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(46,793)</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(35,118)</w:t>
            </w:r>
          </w:p>
        </w:tc>
      </w:tr>
      <w:tr>
        <w:trPr>
          <w:trHeight w:val="193"/>
        </w:trPr>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Netdeferredtaxassets</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160" w:right="1319" w:firstLine="258"/>
        <w:spacing w:after="0" w:line="261" w:lineRule="auto"/>
        <w:rPr>
          <w:sz w:val="20"/>
          <w:szCs w:val="20"/>
          <w:color w:val="auto"/>
        </w:rPr>
      </w:pPr>
      <w:r>
        <w:rPr>
          <w:rFonts w:ascii="Times New Roman" w:cs="Times New Roman" w:eastAsia="Times New Roman" w:hAnsi="Times New Roman"/>
          <w:sz w:val="14"/>
          <w:szCs w:val="14"/>
          <w:color w:val="auto"/>
        </w:rPr>
        <w:t>In recording deferred income tax assets, the Company considers whether it is more likely than not that some portion or all of the deferred income tax assets will be realized. The ultimate realization of deferred income tax assets is dependent upon the generation of future taxable income of the appropriate character during the periods in which those deferred income tax assets would be deductible. The Company considers the scheduled reversal of deferred income tax liabilities and projected future taxable income for this determination. Due to the Company’s limited historical earnings, management continues to believe that it is more likely than not that Fervo will not be able to realize its net deferred tax assets, and therefore a valuation allowance remains on the net deferred tax asset balance. The deferred income tax valuation allowance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Balance at beginning of year </w:t>
            </w:r>
            <w:r>
              <w:rPr>
                <w:rFonts w:ascii="Times New Roman" w:cs="Times New Roman" w:eastAsia="Times New Roman" w:hAnsi="Times New Roman"/>
                <w:sz w:val="14"/>
                <w:szCs w:val="14"/>
                <w:color w:val="B4B4B4"/>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35,118</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26,686</w:t>
            </w: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Additions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w:t>
            </w: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Prior year adjustment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45" w:orient="portrait"/>
          <w:cols w:equalWidth="0" w:num="1">
            <w:col w:w="9019"/>
          </w:cols>
          <w:pgMar w:left="1440" w:top="152" w:right="1440" w:bottom="0" w:gutter="0" w:footer="0" w:header="0"/>
        </w:sectPr>
      </w:pPr>
    </w:p>
    <w:bookmarkStart w:id="163" w:name="page164"/>
    <w:bookmarkEnd w:id="163"/>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Balance at end of year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46,793</w:t>
            </w:r>
          </w:p>
        </w:tc>
        <w:tc>
          <w:tcPr>
            <w:tcW w:w="40" w:type="dxa"/>
            <w:vAlign w:val="bottom"/>
          </w:tcPr>
          <w:p>
            <w:pPr>
              <w:spacing w:after="0"/>
              <w:rPr>
                <w:sz w:val="13"/>
                <w:szCs w:val="1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35,118</w:t>
            </w:r>
          </w:p>
        </w:tc>
      </w:tr>
      <w:tr>
        <w:trPr>
          <w:trHeight w:val="107"/>
        </w:trPr>
        <w:tc>
          <w:tcPr>
            <w:tcW w:w="474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96"/>
              <w:spacing w:after="0" w:line="107"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96"/>
              <w:spacing w:after="0" w:line="107" w:lineRule="exact"/>
              <w:rPr>
                <w:sz w:val="20"/>
                <w:szCs w:val="20"/>
                <w:color w:val="auto"/>
              </w:rPr>
            </w:pPr>
            <w:r>
              <w:rPr>
                <w:rFonts w:ascii="Times New Roman" w:cs="Times New Roman" w:eastAsia="Times New Roman" w:hAnsi="Times New Roman"/>
                <w:sz w:val="11"/>
                <w:szCs w:val="11"/>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-135890</wp:posOffset>
            </wp:positionV>
            <wp:extent cx="716026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3"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 xml:space="preserve">The Company’s federal and state income tax returns for all tax years are generally open under statutes for </w:t>
      </w:r>
      <w:r>
        <w:rPr>
          <w:rFonts w:ascii="Times New Roman" w:cs="Times New Roman" w:eastAsia="Times New Roman" w:hAnsi="Times New Roman"/>
          <w:sz w:val="14"/>
          <w:szCs w:val="14"/>
          <w:color w:val="auto"/>
          <w:highlight w:val="white"/>
        </w:rPr>
        <w:t xml:space="preserve">examination. The Company made no payment for federal income taxes, during the years ended December 31, 2025 </w:t>
      </w:r>
      <w:r>
        <w:rPr>
          <w:rFonts w:ascii="Times New Roman" w:cs="Times New Roman" w:eastAsia="Times New Roman" w:hAnsi="Times New Roman"/>
          <w:sz w:val="14"/>
          <w:szCs w:val="14"/>
          <w:color w:val="auto"/>
        </w:rPr>
        <w:t>and 2024, resulting in a tax net operating loss carryforward. A net operating loss ca</w:t>
      </w:r>
      <w:r>
        <w:rPr>
          <w:rFonts w:ascii="Times New Roman" w:cs="Times New Roman" w:eastAsia="Times New Roman" w:hAnsi="Times New Roman"/>
          <w:sz w:val="14"/>
          <w:szCs w:val="14"/>
          <w:u w:val="single" w:color="auto"/>
          <w:color w:val="auto"/>
        </w:rPr>
        <w:t>rried forward fro</w:t>
      </w:r>
      <w:r>
        <w:rPr>
          <w:rFonts w:ascii="Times New Roman" w:cs="Times New Roman" w:eastAsia="Times New Roman" w:hAnsi="Times New Roman"/>
          <w:sz w:val="14"/>
          <w:szCs w:val="14"/>
          <w:color w:val="auto"/>
        </w:rPr>
        <w:t>m a tax year which would otherwise be closed for statute can be examined if the tax year of utili</w:t>
      </w:r>
      <w:r>
        <w:rPr>
          <w:rFonts w:ascii="Times New Roman" w:cs="Times New Roman" w:eastAsia="Times New Roman" w:hAnsi="Times New Roman"/>
          <w:sz w:val="14"/>
          <w:szCs w:val="14"/>
          <w:u w:val="single" w:color="auto"/>
          <w:color w:val="auto"/>
        </w:rPr>
        <w:t>zation is open un</w:t>
      </w:r>
      <w:r>
        <w:rPr>
          <w:rFonts w:ascii="Times New Roman" w:cs="Times New Roman" w:eastAsia="Times New Roman" w:hAnsi="Times New Roman"/>
          <w:sz w:val="14"/>
          <w:szCs w:val="14"/>
          <w:color w:val="auto"/>
        </w:rPr>
        <w:t>der statute.</w:t>
      </w:r>
    </w:p>
    <w:p>
      <w:pPr>
        <w:spacing w:after="0" w:line="97"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2025 and 2024, there are no uncertain tax benefits that could be recognized within the next 12 months that would impact the Company’s effective tax rate.</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19 – EMPLOYEE BENEFIT PLAN</w:t>
      </w:r>
    </w:p>
    <w:p>
      <w:pPr>
        <w:spacing w:after="0" w:line="142"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The Company maintains a 401(k) defined contribution plan that is subject to the provisions of the Employee Retirement Income Security Act of 1974 (“ERISA”). Each year, the employees participating in the plan may contribute up to the maximum amount allowed for federal income tax purposes, as defined in the plan documents.</w:t>
      </w:r>
    </w:p>
    <w:p>
      <w:pPr>
        <w:spacing w:after="0" w:line="93"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Company may make contributions to the plan as determined annually. Such contributions may include a discretionary matching contribution based on a percentage of the employee’s contribution, a discretionary contribution amount, or a discretionary profit-sharing contribution for active participants employed on the last day of the year. During the years ended December 31, 2025 and 2024, the Company made contributions to the plan totaling $1.5 million and $0.8 million, respectively.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20 – RELATED PARTY TRANSACTIONS</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 xml:space="preserve">The Company evaluates its relationships and transactions with related parties in accordance with ASC 850, </w:t>
      </w:r>
      <w:r>
        <w:rPr>
          <w:rFonts w:ascii="Times New Roman" w:cs="Times New Roman" w:eastAsia="Times New Roman" w:hAnsi="Times New Roman"/>
          <w:sz w:val="14"/>
          <w:szCs w:val="14"/>
          <w:i w:val="1"/>
          <w:iCs w:val="1"/>
          <w:color w:val="auto"/>
        </w:rPr>
        <w:t xml:space="preserve">Related Party Disclosures </w:t>
      </w:r>
      <w:r>
        <w:rPr>
          <w:rFonts w:ascii="Times New Roman" w:cs="Times New Roman" w:eastAsia="Times New Roman" w:hAnsi="Times New Roman"/>
          <w:sz w:val="14"/>
          <w:szCs w:val="14"/>
          <w:color w:val="auto"/>
        </w:rPr>
        <w:t>. Related parties include affiliates, principal owners, management, members of the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Directors, and their immediate family members, as well as entities under common control or significant influence.</w:t>
      </w:r>
    </w:p>
    <w:p>
      <w:pPr>
        <w:spacing w:after="0" w:line="93"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 the years ended December 31, 2025 and 2024 , the Company incurred $0.3 million and $0.2 million respectively, related to technical services provided by supplier who is a major investor in the Company and an observer to the Company’s Board of Directors. These costs were recorded in general and administrative expenses in the Consolidated Statements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21 – COMMITMENTS AND CONTINGENCIES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Contractual Commitments</w:t>
      </w:r>
    </w:p>
    <w:p>
      <w:pPr>
        <w:spacing w:after="0" w:line="144"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December 31, 2025 , the Company had contractual commitments of approximately of $528.8 million, primarily related to our Cape Station Phase I and Cape Station Phase II facilities. Of this amount, $346.5 million is due in 2026 and $182.3 million is due thereafter.</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records liabilities related to litigation and other legal proceedings when they are either known or considered probable and can be reasonably estimated. Legal proceedings are inherently unpredictable and subject to significant uncertainties, and significant judgment is required to determine both probability and the estimated amount. As a result of these uncertainties, any liabilities recorded are based on the best information available at the time. As any new information becomes available, the Company reassesses the potential liability related to pending litigation. Management is not aware of any legal, environmental or other commitments or contingencies that would have a material effect on the Company’s financial condition, results of operations or cash flows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Environmental permits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U.S. environmental permitting regimes with respect to geothermal projects center upon several general areas of focus. The first involves land use approvals. These may take the form of Special Use Permits or Conditional Use Permits from local planning authorities or a series of development and utilization plan approvals and right-of-way approvals where the geothermal facility is entirely or partly on BLM lands. Certain federal approvals require a review of environmental impacts in conformance with the federal National Environmental Policy Act. These federal and local land use approvals typically impose conditions and restrictions on the construction, scope and operation of geothermal projects.</w:t>
      </w:r>
    </w:p>
    <w:p>
      <w:pPr>
        <w:spacing w:after="0" w:line="101" w:lineRule="exact"/>
        <w:rPr>
          <w:sz w:val="20"/>
          <w:szCs w:val="20"/>
          <w:color w:val="auto"/>
        </w:rPr>
      </w:pPr>
    </w:p>
    <w:p>
      <w:pPr>
        <w:jc w:val="both"/>
        <w:ind w:left="1160" w:right="1559" w:firstLine="258"/>
        <w:spacing w:after="0" w:line="262" w:lineRule="auto"/>
        <w:rPr>
          <w:sz w:val="20"/>
          <w:szCs w:val="20"/>
          <w:color w:val="auto"/>
        </w:rPr>
      </w:pPr>
      <w:r>
        <w:rPr>
          <w:rFonts w:ascii="Times New Roman" w:cs="Times New Roman" w:eastAsia="Times New Roman" w:hAnsi="Times New Roman"/>
          <w:sz w:val="14"/>
          <w:szCs w:val="14"/>
          <w:color w:val="auto"/>
        </w:rPr>
        <w:t>The second category of permitting focuses on the installation and use of the geothermal wells themselves. Geothermal projects typically have three types of wells: (i) exploration wells designed to define and verify the geothermal resource, (ii) production wells to extract the hot geothermal liquids (also known as brine), and</w:t>
      </w:r>
    </w:p>
    <w:p>
      <w:pPr>
        <w:spacing w:after="0" w:line="2" w:lineRule="exact"/>
        <w:rPr>
          <w:sz w:val="20"/>
          <w:szCs w:val="20"/>
          <w:color w:val="auto"/>
        </w:rPr>
      </w:pPr>
    </w:p>
    <w:p>
      <w:pPr>
        <w:ind w:left="1160" w:right="1159" w:hanging="7"/>
        <w:spacing w:after="0" w:line="272" w:lineRule="auto"/>
        <w:tabs>
          <w:tab w:leader="none" w:pos="141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injection wells to inject the brine back into the subsurface resource. For all wells drilled in Nevada, a geothermal drilling permit must be obtained from the Nevada Division of Minerals.</w:t>
      </w:r>
    </w:p>
    <w:p>
      <w:pPr>
        <w:spacing w:after="0" w:line="94"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A third category of permits involves the regulation of potential air emissions associated with the construction and operation of wells. Generally, each well requires a preconstruction air permit and storm water discharge permit before earthwork can commence.</w:t>
      </w:r>
    </w:p>
    <w:p>
      <w:pPr>
        <w:spacing w:after="0" w:line="93"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rPr>
        <w:t>A fourth category of permits, required in Nevada, includes ministerial permits such as building permits, hazardous materials storage and management permits, and pressure vessel operating permits.</w:t>
      </w:r>
    </w:p>
    <w:p>
      <w:pPr>
        <w:spacing w:after="0" w:line="81"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In some cases, projects may also require permits, issued by the applicable federal agencies or authorized state agencies, regarding threatened or endangered species, permits to impact wetlands or other waters and notices of construction of structures which may have an impact on airspace. Environmental laws and regulations may change in the future that may modify the time to receive such permits and associated costs of compliance.</w:t>
      </w:r>
    </w:p>
    <w:p>
      <w:pPr>
        <w:spacing w:after="0" w:line="97"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All of the material environmental permits and approvals currently required have been obtained. The Company sometimes experiences regulatory delays in obtaining various permits and approvals required for projects in development and construction. These delays may lead to increases in the time and cost to complete these projects. The Company’s operations are designed and conducted to comply with applicable environmental permits and approval requirements. Non-compliance with any such requirements could result in fines and penalties and could also affect the Company’s ability to operate the affected project.</w:t>
      </w:r>
    </w:p>
    <w:p>
      <w:pPr>
        <w:sectPr>
          <w:pgSz w:w="11900" w:h="16838" w:orient="portrait"/>
          <w:cols w:equalWidth="0" w:num="1">
            <w:col w:w="9019"/>
          </w:cols>
          <w:pgMar w:left="1440" w:top="75" w:right="1440" w:bottom="0" w:gutter="0" w:footer="0" w:header="0"/>
        </w:sectPr>
      </w:pP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Environmental laws and regulations</w:t>
      </w:r>
    </w:p>
    <w:p>
      <w:pPr>
        <w:sectPr>
          <w:pgSz w:w="11900" w:h="16838" w:orient="portrait"/>
          <w:cols w:equalWidth="0" w:num="1">
            <w:col w:w="9019"/>
          </w:cols>
          <w:pgMar w:left="1440" w:top="75" w:right="1440" w:bottom="0" w:gutter="0" w:footer="0" w:header="0"/>
          <w:type w:val="continuous"/>
        </w:sectPr>
      </w:pPr>
    </w:p>
    <w:bookmarkStart w:id="164" w:name="page165"/>
    <w:bookmarkEnd w:id="164"/>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Company’s facilities and operations are subject to several federal, state, local and foreign environmental laws and regulations relating to development, construction and operation. In the U.S., these may include the Clean Air Act, the Clean Water Act, the Emergency Planning and Community Right-to-Know Act, the Endangered Species Act, the National Environmental Policy Act, the Resource Conservation and Recovery Act, and related state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-561340</wp:posOffset>
            </wp:positionV>
            <wp:extent cx="716026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22 – SUBSEQUENT EVENTS</w:t>
      </w:r>
    </w:p>
    <w:p>
      <w:pPr>
        <w:spacing w:after="0" w:line="142"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Management has evaluated subsequent events that occurred after the date of the Consolidated Balance Sheets through March 30, 2026, the date the financial statements were issued.</w:t>
      </w:r>
    </w:p>
    <w:p>
      <w:pPr>
        <w:spacing w:after="0" w:line="81" w:lineRule="exact"/>
        <w:rPr>
          <w:sz w:val="20"/>
          <w:szCs w:val="20"/>
          <w:color w:val="auto"/>
        </w:rPr>
      </w:pPr>
    </w:p>
    <w:p>
      <w:pPr>
        <w:ind w:left="1660" w:right="1179" w:hanging="249"/>
        <w:spacing w:after="0" w:line="262" w:lineRule="auto"/>
        <w:tabs>
          <w:tab w:leader="none" w:pos="16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December 31, 2025, the Company entered into agreements relating to the potential development of geothermal energy projects, including a framework arrangement that establishes a structured development process for future project evaluation. The framework includes development-related commitments requiring the Company to submit specified project feasibility packages representing approximately 1 GW of aggregate capacity within a defined period. The agreements also include provisions under which the Company may be required to pay liquidated damages or termination fees under specified circumstances, including potential payments of approximately $15.0 million if certain development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Fervo Energy Company and Subsidiaries</w:t>
      </w:r>
    </w:p>
    <w:p>
      <w:pPr>
        <w:spacing w:after="0" w:line="1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4" w:lineRule="exact"/>
        <w:rPr>
          <w:sz w:val="20"/>
          <w:szCs w:val="20"/>
          <w:color w:val="auto"/>
        </w:rPr>
      </w:pPr>
    </w:p>
    <w:p>
      <w:pPr>
        <w:ind w:left="1660" w:right="1259"/>
        <w:spacing w:after="0" w:line="292" w:lineRule="auto"/>
        <w:rPr>
          <w:sz w:val="20"/>
          <w:szCs w:val="20"/>
          <w:color w:val="auto"/>
        </w:rPr>
      </w:pPr>
      <w:r>
        <w:rPr>
          <w:rFonts w:ascii="Times New Roman" w:cs="Times New Roman" w:eastAsia="Times New Roman" w:hAnsi="Times New Roman"/>
          <w:sz w:val="14"/>
          <w:szCs w:val="14"/>
          <w:color w:val="auto"/>
        </w:rPr>
        <w:t>requirements are not met. The execution of these agreements did not result in the recognition of any assets or liabilities as of December 31, 2025.</w:t>
      </w:r>
    </w:p>
    <w:p>
      <w:pPr>
        <w:spacing w:after="0" w:line="81" w:lineRule="exact"/>
        <w:rPr>
          <w:sz w:val="20"/>
          <w:szCs w:val="20"/>
          <w:color w:val="auto"/>
        </w:rPr>
      </w:pPr>
    </w:p>
    <w:p>
      <w:pPr>
        <w:ind w:left="1660" w:right="1259" w:hanging="249"/>
        <w:spacing w:after="0" w:line="266" w:lineRule="auto"/>
        <w:tabs>
          <w:tab w:leader="none" w:pos="16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6, 2026, Cape Phase 1 Borrower LLC and Phase 1 WellCo LLC (the “Borrowers”), subsidiaries of the Company, entered into a senior secured credit agreement with a syndicate of lenders led by MUFG</w:t>
      </w:r>
    </w:p>
    <w:p>
      <w:pPr>
        <w:spacing w:after="0" w:line="1" w:lineRule="exact"/>
        <w:rPr>
          <w:sz w:val="20"/>
          <w:szCs w:val="20"/>
          <w:color w:val="auto"/>
        </w:rPr>
      </w:pPr>
    </w:p>
    <w:p>
      <w:pPr>
        <w:ind w:left="1660" w:right="1259"/>
        <w:spacing w:after="0" w:line="259" w:lineRule="auto"/>
        <w:rPr>
          <w:sz w:val="20"/>
          <w:szCs w:val="20"/>
          <w:color w:val="auto"/>
        </w:rPr>
      </w:pPr>
      <w:r>
        <w:rPr>
          <w:rFonts w:ascii="Times New Roman" w:cs="Times New Roman" w:eastAsia="Times New Roman" w:hAnsi="Times New Roman"/>
          <w:sz w:val="14"/>
          <w:szCs w:val="14"/>
          <w:color w:val="auto"/>
        </w:rPr>
        <w:t>Bank, Ltd., as administrative agent, and HSBC Bank USA, National Association, as collateral agent, to finance the development and construction of the Company’s Cape Station Phase I geothermal project located in Beaver County, Utah. In connection with the financing, the Borrowers executed customary project finance and related closing deliverables. As of the date the financial statements were issued, no amounts had been drawn under the facility. Accordingly, t he execution of the agreement did not result in the recognition of any assets or liabilities as of December 31, 2025.</w:t>
      </w:r>
    </w:p>
    <w:p>
      <w:pPr>
        <w:spacing w:after="0" w:line="104" w:lineRule="exact"/>
        <w:rPr>
          <w:sz w:val="20"/>
          <w:szCs w:val="20"/>
          <w:color w:val="auto"/>
        </w:rPr>
      </w:pPr>
    </w:p>
    <w:p>
      <w:pPr>
        <w:ind w:left="1660" w:right="1179"/>
        <w:spacing w:after="0" w:line="265" w:lineRule="auto"/>
        <w:rPr>
          <w:sz w:val="20"/>
          <w:szCs w:val="20"/>
          <w:color w:val="auto"/>
        </w:rPr>
      </w:pPr>
      <w:r>
        <w:rPr>
          <w:rFonts w:ascii="Times New Roman" w:cs="Times New Roman" w:eastAsia="Times New Roman" w:hAnsi="Times New Roman"/>
          <w:sz w:val="14"/>
          <w:szCs w:val="14"/>
          <w:color w:val="auto"/>
        </w:rPr>
        <w:t>The Company expects to draw on the project financing facility in the near team. In connection with this transaction, the Company expects to repay the outstanding borrowings under the XRC Term Loan. Pursuant to the Second Loan Modification Agreement, the Company will be required to pay prepayment premiums within one business day following such repayment. Accordingly, the Company estimates the prepayment premium to be approximately $6.5 million, subject to final settlement.</w:t>
      </w:r>
    </w:p>
    <w:p>
      <w:pPr>
        <w:spacing w:after="0" w:line="99" w:lineRule="exact"/>
        <w:rPr>
          <w:sz w:val="20"/>
          <w:szCs w:val="20"/>
          <w:color w:val="auto"/>
        </w:rPr>
      </w:pPr>
    </w:p>
    <w:p>
      <w:pPr>
        <w:jc w:val="both"/>
        <w:ind w:left="1660" w:right="1299" w:hanging="249"/>
        <w:spacing w:after="0" w:line="266" w:lineRule="auto"/>
        <w:tabs>
          <w:tab w:leader="none" w:pos="16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December 31, 2025 , the Company granted stock options to employees and directors under the Plan, which was amended on March 6, 2026 to authorize additional shares that can be issued for up to</w:t>
      </w:r>
    </w:p>
    <w:p>
      <w:pPr>
        <w:spacing w:after="0" w:line="1" w:lineRule="exact"/>
        <w:rPr>
          <w:sz w:val="20"/>
          <w:szCs w:val="20"/>
          <w:color w:val="auto"/>
        </w:rPr>
      </w:pPr>
    </w:p>
    <w:p>
      <w:pPr>
        <w:jc w:val="both"/>
        <w:ind w:left="1660" w:right="1179"/>
        <w:spacing w:after="0" w:line="261" w:lineRule="auto"/>
        <w:rPr>
          <w:sz w:val="20"/>
          <w:szCs w:val="20"/>
          <w:color w:val="auto"/>
        </w:rPr>
      </w:pPr>
      <w:r>
        <w:rPr>
          <w:rFonts w:ascii="Times New Roman" w:cs="Times New Roman" w:eastAsia="Times New Roman" w:hAnsi="Times New Roman"/>
          <w:sz w:val="14"/>
          <w:szCs w:val="14"/>
          <w:color w:val="auto"/>
        </w:rPr>
        <w:t>47,472,828 shares of common stock. On January 26, 2026, the Company granted 5,817,000 stock options with a grant date fair value of $ 2.91 per option. On March 6, 2026, the Company granted 13,844,588 stock options with a grant date fair value of $ 5.81 per option. The grant-date fair value of the 2026 stock options granted was estimated using the Black-Scholes option-pricing model using the following assumptions:</w:t>
      </w:r>
    </w:p>
    <w:p>
      <w:pPr>
        <w:sectPr>
          <w:pgSz w:w="11900" w:h="16838" w:orient="portrait"/>
          <w:cols w:equalWidth="0" w:num="1">
            <w:col w:w="9019"/>
          </w:cols>
          <w:pgMar w:left="1440" w:top="136" w:right="1440" w:bottom="920" w:gutter="0" w:footer="0" w:header="0"/>
        </w:sectPr>
      </w:pPr>
    </w:p>
    <w:p>
      <w:pPr>
        <w:spacing w:after="0" w:line="1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 xml:space="preserve">Fair value of common stock </w:t>
      </w:r>
      <w:r>
        <w:rPr>
          <w:rFonts w:ascii="Times New Roman" w:cs="Times New Roman" w:eastAsia="Times New Roman" w:hAnsi="Times New Roman"/>
          <w:sz w:val="12"/>
          <w:szCs w:val="12"/>
          <w:color w:val="B4B4B4"/>
        </w:rPr>
        <w:t>...................................................................................................................</w:t>
      </w:r>
    </w:p>
    <w:p>
      <w:pPr>
        <w:spacing w:after="0" w:line="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 xml:space="preserve">Expected volatility </w:t>
      </w:r>
      <w:r>
        <w:rPr>
          <w:rFonts w:ascii="Times New Roman" w:cs="Times New Roman" w:eastAsia="Times New Roman" w:hAnsi="Times New Roman"/>
          <w:sz w:val="12"/>
          <w:szCs w:val="12"/>
          <w:color w:val="B4B4B4"/>
        </w:rPr>
        <w:t>..................................................................................................................................</w:t>
      </w:r>
    </w:p>
    <w:p>
      <w:pPr>
        <w:spacing w:after="0" w:line="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 xml:space="preserve">Expected term (in years) </w:t>
      </w:r>
      <w:r>
        <w:rPr>
          <w:rFonts w:ascii="Times New Roman" w:cs="Times New Roman" w:eastAsia="Times New Roman" w:hAnsi="Times New Roman"/>
          <w:sz w:val="12"/>
          <w:szCs w:val="12"/>
          <w:color w:val="B4B4B4"/>
        </w:rPr>
        <w:t>........................................................................................................................</w:t>
      </w:r>
    </w:p>
    <w:p>
      <w:pPr>
        <w:spacing w:after="0" w:line="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Risk-free interest rate</w:t>
      </w:r>
      <w:r>
        <w:rPr>
          <w:rFonts w:ascii="Times New Roman" w:cs="Times New Roman" w:eastAsia="Times New Roman" w:hAnsi="Times New Roman"/>
          <w:sz w:val="12"/>
          <w:szCs w:val="12"/>
          <w:color w:val="B4B4B4"/>
        </w:rPr>
        <w:t>..............................................................................................................................</w:t>
      </w:r>
    </w:p>
    <w:p>
      <w:pPr>
        <w:spacing w:after="0" w:line="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 xml:space="preserve">Expected dividend yield </w:t>
      </w:r>
      <w:r>
        <w:rPr>
          <w:rFonts w:ascii="Times New Roman" w:cs="Times New Roman" w:eastAsia="Times New Roman" w:hAnsi="Times New Roman"/>
          <w:sz w:val="12"/>
          <w:szCs w:val="12"/>
          <w:color w:val="B4B4B4"/>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$4.25 - $8.49</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75.0 %</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6.08</w:t>
      </w:r>
    </w:p>
    <w:p>
      <w:pPr>
        <w:spacing w:after="0" w:line="55"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2"/>
          <w:szCs w:val="12"/>
          <w:color w:val="auto"/>
        </w:rPr>
        <w:t>3.75% - 3.83%</w:t>
      </w:r>
    </w:p>
    <w:p>
      <w:pPr>
        <w:spacing w:after="0" w:line="55"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3"/>
          <w:szCs w:val="13"/>
          <w:color w:val="auto"/>
        </w:rPr>
        <w:t>0.0 %</w:t>
      </w:r>
    </w:p>
    <w:p>
      <w:pPr>
        <w:spacing w:after="0" w:line="200" w:lineRule="exact"/>
        <w:rPr>
          <w:sz w:val="20"/>
          <w:szCs w:val="20"/>
          <w:color w:val="auto"/>
        </w:rPr>
      </w:pPr>
    </w:p>
    <w:p>
      <w:pPr>
        <w:sectPr>
          <w:pgSz w:w="11900" w:h="16838" w:orient="portrait"/>
          <w:cols w:equalWidth="0" w:num="2">
            <w:col w:w="6900" w:space="180"/>
            <w:col w:w="1939"/>
          </w:cols>
          <w:pgMar w:left="1440" w:top="136" w:right="1440" w:bottom="920" w:gutter="0" w:footer="0" w:header="0"/>
          <w:type w:val="continuous"/>
        </w:sectPr>
      </w:pPr>
    </w:p>
    <w:p>
      <w:pPr>
        <w:spacing w:after="0" w:line="12" w:lineRule="exact"/>
        <w:rPr>
          <w:sz w:val="20"/>
          <w:szCs w:val="20"/>
          <w:color w:val="auto"/>
        </w:rPr>
      </w:pPr>
    </w:p>
    <w:p>
      <w:pPr>
        <w:jc w:val="both"/>
        <w:ind w:left="1660" w:right="1379"/>
        <w:spacing w:after="0" w:line="274" w:lineRule="auto"/>
        <w:rPr>
          <w:sz w:val="20"/>
          <w:szCs w:val="20"/>
          <w:color w:val="auto"/>
        </w:rPr>
      </w:pPr>
      <w:r>
        <w:rPr>
          <w:rFonts w:ascii="Times New Roman" w:cs="Times New Roman" w:eastAsia="Times New Roman" w:hAnsi="Times New Roman"/>
          <w:sz w:val="14"/>
          <w:szCs w:val="14"/>
          <w:color w:val="auto"/>
        </w:rPr>
        <w:t>The Company determined the fair value of its common stock considering similar factors as disclosed in Note 10 – Stock Based Compensation and utilized a weighted average calculation considering fair value under both an IPO scenario and a going concern scenario.</w:t>
      </w:r>
    </w:p>
    <w:p>
      <w:pPr>
        <w:spacing w:after="0" w:line="93" w:lineRule="exact"/>
        <w:rPr>
          <w:sz w:val="20"/>
          <w:szCs w:val="20"/>
          <w:color w:val="auto"/>
        </w:rPr>
      </w:pPr>
    </w:p>
    <w:p>
      <w:pPr>
        <w:ind w:left="1660" w:right="1239" w:hanging="249"/>
        <w:spacing w:after="0" w:line="274" w:lineRule="auto"/>
        <w:tabs>
          <w:tab w:leader="none" w:pos="16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2026, the Company entered into an agreement to purchase turbines and related equipment. The agreement includes a three-year order period from April 1, 2026, to March 31, 2029, during which the Company has committed to a minimum purchase obligation of $15.0 million.</w:t>
      </w:r>
    </w:p>
    <w:p>
      <w:pPr>
        <w:spacing w:after="0" w:line="93"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Other than the matters described above, the Company identified no subsequent events that require adjustment to or disclosure in the consolidated financial statements.</w:t>
      </w:r>
    </w:p>
    <w:p>
      <w:pPr>
        <w:sectPr>
          <w:pgSz w:w="11900" w:h="16838" w:orient="portrait"/>
          <w:cols w:equalWidth="0" w:num="1">
            <w:col w:w="9019"/>
          </w:cols>
          <w:pgMar w:left="1440" w:top="136" w:right="1440" w:bottom="92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9019"/>
          </w:cols>
          <w:pgMar w:left="1440" w:top="136" w:right="1440" w:bottom="920" w:gutter="0" w:footer="0" w:header="0"/>
          <w:type w:val="continuous"/>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6808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6808470"/>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70,000,000 Shares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Fervo Energy Company</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tabs>
          <w:tab w:leader="none" w:pos="200" w:val="left"/>
          <w:tab w:leader="none" w:pos="240" w:val="left"/>
        </w:tabs>
        <w:rPr>
          <w:sz w:val="20"/>
          <w:szCs w:val="20"/>
          <w:color w:val="auto"/>
        </w:rPr>
      </w:pPr>
      <w:r>
        <w:rPr>
          <w:rFonts w:ascii="Times New Roman" w:cs="Times New Roman" w:eastAsia="Times New Roman" w:hAnsi="Times New Roman"/>
          <w:sz w:val="23"/>
          <w:szCs w:val="23"/>
          <w:b w:val="1"/>
          <w:bCs w:val="1"/>
          <w:color w:val="auto"/>
        </w:rPr>
        <w:t>J.P. Morgan</w:t>
        <w:tab/>
        <w:t>BofA Securities  RBC Capital Markets</w:t>
      </w:r>
      <w:r>
        <w:rPr>
          <w:sz w:val="20"/>
          <w:szCs w:val="20"/>
          <w:color w:val="auto"/>
        </w:rPr>
        <w:tab/>
      </w:r>
      <w:r>
        <w:rPr>
          <w:rFonts w:ascii="Times New Roman" w:cs="Times New Roman" w:eastAsia="Times New Roman" w:hAnsi="Times New Roman"/>
          <w:sz w:val="22"/>
          <w:szCs w:val="22"/>
          <w:b w:val="1"/>
          <w:bCs w:val="1"/>
          <w:color w:val="auto"/>
        </w:rPr>
        <w:t>Barclays</w:t>
      </w:r>
    </w:p>
    <w:p>
      <w:pPr>
        <w:sectPr>
          <w:pgSz w:w="11900" w:h="16838" w:orient="portrait"/>
          <w:cols w:equalWidth="0" w:num="1">
            <w:col w:w="9019"/>
          </w:cols>
          <w:pgMar w:left="1440" w:top="1440" w:right="1440" w:bottom="1440" w:gutter="0" w:footer="0" w:header="0"/>
        </w:sectPr>
      </w:pPr>
    </w:p>
    <w:p>
      <w:pPr>
        <w:spacing w:after="0" w:line="203" w:lineRule="exact"/>
        <w:rPr>
          <w:sz w:val="20"/>
          <w:szCs w:val="20"/>
          <w:color w:val="auto"/>
        </w:rPr>
      </w:pPr>
    </w:p>
    <w:p>
      <w:pPr>
        <w:ind w:left="1280" w:firstLine="403"/>
        <w:spacing w:after="0" w:line="289" w:lineRule="auto"/>
        <w:rPr>
          <w:sz w:val="20"/>
          <w:szCs w:val="20"/>
          <w:color w:val="auto"/>
        </w:rPr>
      </w:pPr>
      <w:r>
        <w:rPr>
          <w:rFonts w:ascii="Times New Roman" w:cs="Times New Roman" w:eastAsia="Times New Roman" w:hAnsi="Times New Roman"/>
          <w:sz w:val="17"/>
          <w:szCs w:val="17"/>
          <w:b w:val="1"/>
          <w:bCs w:val="1"/>
          <w:color w:val="auto"/>
        </w:rPr>
        <w:t>Baird BBVA Societe Generale William Blair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Guggenheim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Piper Sandler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7"/>
          <w:szCs w:val="17"/>
          <w:b w:val="1"/>
          <w:bCs w:val="1"/>
          <w:color w:val="auto"/>
        </w:rPr>
        <w:t>MUFG</w:t>
      </w:r>
    </w:p>
    <w:p>
      <w:pPr>
        <w:spacing w:after="0" w:line="31" w:lineRule="exact"/>
        <w:rPr>
          <w:sz w:val="20"/>
          <w:szCs w:val="20"/>
          <w:color w:val="auto"/>
        </w:rPr>
      </w:pPr>
    </w:p>
    <w:p>
      <w:pPr>
        <w:jc w:val="center"/>
        <w:ind w:right="1319"/>
        <w:spacing w:after="0"/>
        <w:rPr>
          <w:sz w:val="20"/>
          <w:szCs w:val="20"/>
          <w:color w:val="auto"/>
        </w:rPr>
      </w:pPr>
      <w:r>
        <w:rPr>
          <w:rFonts w:ascii="Times New Roman" w:cs="Times New Roman" w:eastAsia="Times New Roman" w:hAnsi="Times New Roman"/>
          <w:sz w:val="17"/>
          <w:szCs w:val="17"/>
          <w:b w:val="1"/>
          <w:bCs w:val="1"/>
          <w:color w:val="auto"/>
        </w:rPr>
        <w:t>Wolfe | Nomura Alliance</w:t>
      </w:r>
    </w:p>
    <w:p>
      <w:pPr>
        <w:spacing w:after="0" w:line="249" w:lineRule="exact"/>
        <w:rPr>
          <w:sz w:val="20"/>
          <w:szCs w:val="20"/>
          <w:color w:val="auto"/>
        </w:rPr>
      </w:pPr>
    </w:p>
    <w:p>
      <w:pPr>
        <w:sectPr>
          <w:pgSz w:w="11900" w:h="16838" w:orient="portrait"/>
          <w:cols w:equalWidth="0" w:num="3">
            <w:col w:w="3660" w:space="220"/>
            <w:col w:w="1700" w:space="300"/>
            <w:col w:w="3139"/>
          </w:cols>
          <w:pgMar w:left="1440" w:top="1440" w:right="1440" w:bottom="1440" w:gutter="0" w:footer="0" w:header="0"/>
          <w:type w:val="continuous"/>
        </w:sectPr>
      </w:pPr>
    </w:p>
    <w:p>
      <w:pPr>
        <w:spacing w:after="0" w:line="295"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Until June 6,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lvl w:ilvl="1">
      <w:lvlJc w:val="left"/>
      <w:lvlText w:val="◦"/>
      <w:numFmt w:val="bullet"/>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
      <w:numFmt w:val="bullet"/>
      <w:start w:val="1"/>
    </w:lvl>
    <w:lvl w:ilvl="1">
      <w:lvlJc w:val="left"/>
      <w:lvlText w:val="◦"/>
      <w:numFmt w:val="bullet"/>
      <w:start w:val="1"/>
    </w:lvl>
  </w:abstractNum>
  <w:abstractNum w:abstractNumId="59">
    <w:nsid w:val="2A155DBC"/>
    <w:multiLevelType w:val="hybridMultilevel"/>
    <w:lvl w:ilvl="0">
      <w:lvlJc w:val="left"/>
      <w:lvlText w:val="•"/>
      <w:numFmt w:val="bullet"/>
      <w:start w:val="1"/>
    </w:lvl>
    <w:lvl w:ilvl="1">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
      <w:numFmt w:val="bullet"/>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
      <w:numFmt w:val="bullet"/>
      <w:start w:val="1"/>
    </w:lvl>
  </w:abstractNum>
  <w:abstractNum w:abstractNumId="65">
    <w:nsid w:val="415E286C"/>
    <w:multiLevelType w:val="hybridMultilevel"/>
    <w:lvl w:ilvl="0">
      <w:lvlJc w:val="left"/>
      <w:lvlText w:val="•"/>
      <w:numFmt w:val="bullet"/>
      <w:start w:val="1"/>
    </w:lvl>
  </w:abstractNum>
  <w:abstractNum w:abstractNumId="66">
    <w:nsid w:val="7C58FD05"/>
    <w:multiLevelType w:val="hybridMultilevel"/>
    <w:lvl w:ilvl="0">
      <w:lvlJc w:val="left"/>
      <w:lvlText w:val="•"/>
      <w:numFmt w:val="bullet"/>
      <w:start w:val="1"/>
    </w:lvl>
  </w:abstractNum>
  <w:abstractNum w:abstractNumId="67">
    <w:nsid w:val="23D86AAC"/>
    <w:multiLevelType w:val="hybridMultilevel"/>
    <w:lvl w:ilvl="0">
      <w:lvlJc w:val="left"/>
      <w:lvlText w:val="•"/>
      <w:numFmt w:val="bullet"/>
      <w:start w:val="1"/>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
      <w:numFmt w:val="bullet"/>
      <w:start w:val="1"/>
    </w:lvl>
  </w:abstractNum>
  <w:abstractNum w:abstractNumId="77">
    <w:nsid w:val="379E21B5"/>
    <w:multiLevelType w:val="hybridMultilevel"/>
    <w:lvl w:ilvl="0">
      <w:lvlJc w:val="left"/>
      <w:lvlText w:val="•"/>
      <w:numFmt w:val="bullet"/>
      <w:start w:val="1"/>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
      <w:numFmt w:val="bullet"/>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
      <w:numFmt w:val="bullet"/>
      <w:start w:val="1"/>
    </w:lvl>
  </w:abstractNum>
  <w:abstractNum w:abstractNumId="89">
    <w:nsid w:val="4F97E3E4"/>
    <w:multiLevelType w:val="hybridMultilevel"/>
    <w:lvl w:ilvl="0">
      <w:lvlJc w:val="left"/>
      <w:lvlText w:val="•"/>
      <w:numFmt w:val="bullet"/>
      <w:start w:val="1"/>
    </w:lvl>
  </w:abstractNum>
  <w:abstractNum w:abstractNumId="90">
    <w:nsid w:val="53B0A9E"/>
    <w:multiLevelType w:val="hybridMultilevel"/>
    <w:lvl w:ilvl="0">
      <w:lvlJc w:val="left"/>
      <w:lvlText w:val="•"/>
      <w:numFmt w:val="bullet"/>
      <w:start w:val="1"/>
    </w:lvl>
  </w:abstractNum>
  <w:abstractNum w:abstractNumId="91">
    <w:nsid w:val="34FD6B4F"/>
    <w:multiLevelType w:val="hybridMultilevel"/>
    <w:lvl w:ilvl="0">
      <w:lvlJc w:val="left"/>
      <w:lvlText w:val="•"/>
      <w:numFmt w:val="bullet"/>
      <w:start w:val="1"/>
    </w:lvl>
  </w:abstractNum>
  <w:abstractNum w:abstractNumId="92">
    <w:nsid w:val="5915FF32"/>
    <w:multiLevelType w:val="hybridMultilevel"/>
    <w:lvl w:ilvl="0">
      <w:lvlJc w:val="left"/>
      <w:lvlText w:val="•"/>
      <w:numFmt w:val="bullet"/>
      <w:start w:val="1"/>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
      <w:numFmt w:val="bullet"/>
      <w:start w:val="1"/>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1)"/>
      <w:numFmt w:val="decimal"/>
      <w:start w:val="1"/>
    </w:lvl>
  </w:abstractNum>
  <w:abstractNum w:abstractNumId="97">
    <w:nsid w:val="4DF72E4E"/>
    <w:multiLevelType w:val="hybridMultilevel"/>
    <w:lvl w:ilvl="0">
      <w:lvlJc w:val="left"/>
      <w:lvlText w:val="•"/>
      <w:numFmt w:val="bullet"/>
      <w:start w:val="1"/>
    </w:lvl>
  </w:abstractNum>
  <w:abstractNum w:abstractNumId="98">
    <w:nsid w:val="5046B5A9"/>
    <w:multiLevelType w:val="hybridMultilevel"/>
    <w:lvl w:ilvl="0">
      <w:lvlJc w:val="left"/>
      <w:lvlText w:val="•"/>
      <w:numFmt w:val="bullet"/>
      <w:start w:val="1"/>
    </w:lvl>
  </w:abstractNum>
  <w:abstractNum w:abstractNumId="99">
    <w:nsid w:val="5D888A08"/>
    <w:multiLevelType w:val="hybridMultilevel"/>
    <w:lvl w:ilvl="0">
      <w:lvlJc w:val="left"/>
      <w:lvlText w:val="•"/>
      <w:numFmt w:val="bullet"/>
      <w:start w:val="1"/>
    </w:lvl>
  </w:abstractNum>
  <w:abstractNum w:abstractNumId="100">
    <w:nsid w:val="2A082C70"/>
    <w:multiLevelType w:val="hybridMultilevel"/>
    <w:lvl w:ilvl="0">
      <w:lvlJc w:val="left"/>
      <w:lvlText w:val="•"/>
      <w:numFmt w:val="bullet"/>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1)"/>
      <w:numFmt w:val="decimal"/>
      <w:start w:val="1"/>
    </w:lvl>
  </w:abstractNum>
  <w:abstractNum w:abstractNumId="106">
    <w:nsid w:val="20EE1348"/>
    <w:multiLevelType w:val="hybridMultilevel"/>
    <w:lvl w:ilvl="0">
      <w:lvlJc w:val="left"/>
      <w:lvlText w:val="•"/>
      <w:numFmt w:val="bullet"/>
      <w:start w:val="1"/>
    </w:lvl>
  </w:abstractNum>
  <w:abstractNum w:abstractNumId="107">
    <w:nsid w:val="4427069A"/>
    <w:multiLevelType w:val="hybridMultilevel"/>
    <w:lvl w:ilvl="0">
      <w:lvlJc w:val="left"/>
      <w:lvlText w:val="•"/>
      <w:numFmt w:val="bullet"/>
      <w:start w:val="1"/>
    </w:lvl>
  </w:abstractNum>
  <w:abstractNum w:abstractNumId="108">
    <w:nsid w:val="B37E80A"/>
    <w:multiLevelType w:val="hybridMultilevel"/>
    <w:lvl w:ilvl="0">
      <w:lvlJc w:val="left"/>
      <w:lvlText w:val="•"/>
      <w:numFmt w:val="bullet"/>
      <w:start w:val="1"/>
    </w:lvl>
  </w:abstractNum>
  <w:abstractNum w:abstractNumId="109">
    <w:nsid w:val="2157F6BC"/>
    <w:multiLevelType w:val="hybridMultilevel"/>
    <w:lvl w:ilvl="0">
      <w:lvlJc w:val="left"/>
      <w:lvlText w:val="*"/>
      <w:numFmt w:val="bullet"/>
      <w:start w:val="1"/>
    </w:lvl>
  </w:abstractNum>
  <w:abstractNum w:abstractNumId="110">
    <w:nsid w:val="704E1DD5"/>
    <w:multiLevelType w:val="hybridMultilevel"/>
    <w:lvl w:ilvl="0">
      <w:lvlJc w:val="left"/>
      <w:lvlText w:val="•"/>
      <w:numFmt w:val="bullet"/>
      <w:start w:val="1"/>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
      <w:numFmt w:val="bullet"/>
      <w:start w:val="1"/>
    </w:lvl>
  </w:abstractNum>
  <w:abstractNum w:abstractNumId="113">
    <w:nsid w:val="E3E47A8"/>
    <w:multiLevelType w:val="hybridMultilevel"/>
    <w:lvl w:ilvl="0">
      <w:lvlJc w:val="left"/>
      <w:lvlText w:val="(%1)"/>
      <w:numFmt w:val="decimal"/>
      <w:start w:val="1"/>
    </w:lvl>
    <w:lvl w:ilvl="1">
      <w:lvlJc w:val="left"/>
      <w:lvlText w:val="(%2)"/>
      <w:numFmt w:val="lowerRoman"/>
      <w:start w:val="2"/>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1)"/>
      <w:numFmt w:val="decimal"/>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1)"/>
      <w:numFmt w:val="decimal"/>
      <w:start w:val="1"/>
    </w:lvl>
  </w:abstractNum>
  <w:abstractNum w:abstractNumId="121">
    <w:nsid w:val="2A31B62D"/>
    <w:multiLevelType w:val="hybridMultilevel"/>
    <w:lvl w:ilvl="0">
      <w:lvlJc w:val="left"/>
      <w:lvlText w:val="•"/>
      <w:numFmt w:val="bullet"/>
      <w:start w:val="1"/>
    </w:lvl>
    <w:lvl w:ilvl="1">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4"/>
    </w:lvl>
  </w:abstractNum>
  <w:abstractNum w:abstractNumId="129">
    <w:nsid w:val="7AB49DAF"/>
    <w:multiLevelType w:val="hybridMultilevel"/>
    <w:lvl w:ilvl="0">
      <w:lvlJc w:val="left"/>
      <w:lvlText w:val="•"/>
      <w:numFmt w:val="bullet"/>
      <w:start w:val="1"/>
    </w:lvl>
  </w:abstractNum>
  <w:abstractNum w:abstractNumId="130">
    <w:nsid w:val="759F82CD"/>
    <w:multiLevelType w:val="hybridMultilevel"/>
    <w:lvl w:ilvl="0">
      <w:lvlJc w:val="left"/>
      <w:lvlText w:val="•"/>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
      <w:numFmt w:val="bullet"/>
      <w:start w:val="1"/>
    </w:lvl>
  </w:abstractNum>
  <w:abstractNum w:abstractNumId="134">
    <w:nsid w:val="57C7D42D"/>
    <w:multiLevelType w:val="hybridMultilevel"/>
    <w:lvl w:ilvl="0">
      <w:lvlJc w:val="left"/>
      <w:lvlText w:val="•"/>
      <w:numFmt w:val="bullet"/>
      <w:start w:val="1"/>
    </w:lvl>
  </w:abstractNum>
  <w:abstractNum w:abstractNumId="135">
    <w:nsid w:val="312167AD"/>
    <w:multiLevelType w:val="hybridMultilevel"/>
    <w:lvl w:ilvl="0">
      <w:lvlJc w:val="left"/>
      <w:lvlText w:val="•"/>
      <w:numFmt w:val="bullet"/>
      <w:start w:val="1"/>
    </w:lvl>
  </w:abstractNum>
  <w:abstractNum w:abstractNumId="136">
    <w:nsid w:val="631B64D4"/>
    <w:multiLevelType w:val="hybridMultilevel"/>
    <w:lvl w:ilvl="0">
      <w:lvlJc w:val="left"/>
      <w:lvlText w:val="•"/>
      <w:numFmt w:val="bullet"/>
      <w:start w:val="1"/>
    </w:lvl>
  </w:abstractNum>
  <w:abstractNum w:abstractNumId="137">
    <w:nsid w:val="78B5E776"/>
    <w:multiLevelType w:val="hybridMultilevel"/>
    <w:lvl w:ilvl="0">
      <w:lvlJc w:val="left"/>
      <w:lvlText w:val="•"/>
      <w:numFmt w:val="bullet"/>
      <w:start w:val="1"/>
    </w:lvl>
  </w:abstractNum>
  <w:abstractNum w:abstractNumId="138">
    <w:nsid w:val="75486E47"/>
    <w:multiLevelType w:val="hybridMultilevel"/>
    <w:lvl w:ilvl="0">
      <w:lvlJc w:val="left"/>
      <w:lvlText w:val="•"/>
      <w:numFmt w:val="bullet"/>
      <w:start w:val="1"/>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1)"/>
      <w:numFmt w:val="upperLetter"/>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
      <w:numFmt w:val="bullet"/>
      <w:start w:val="1"/>
    </w:lvl>
  </w:abstractNum>
  <w:abstractNum w:abstractNumId="145">
    <w:nsid w:val="746F2E30"/>
    <w:multiLevelType w:val="hybridMultilevel"/>
    <w:lvl w:ilvl="0">
      <w:lvlJc w:val="left"/>
      <w:lvlText w:val="(%1)"/>
      <w:numFmt w:val="lowerLetter"/>
      <w:start w:val="1"/>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Roman"/>
      <w:start w:val="2"/>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lowerLetter"/>
      <w:start w:val="1"/>
    </w:lvl>
  </w:abstractNum>
  <w:abstractNum w:abstractNumId="150">
    <w:nsid w:val="230F856C"/>
    <w:multiLevelType w:val="hybridMultilevel"/>
    <w:lvl w:ilvl="0">
      <w:lvlJc w:val="left"/>
      <w:lvlText w:val="(%1)"/>
      <w:numFmt w:val="lowerRoman"/>
      <w:start w:val="3"/>
    </w:lvl>
  </w:abstractNum>
  <w:abstractNum w:abstractNumId="151">
    <w:nsid w:val="6EAA85FB"/>
    <w:multiLevelType w:val="hybridMultilevel"/>
    <w:lvl w:ilvl="0">
      <w:lvlJc w:val="left"/>
      <w:lvlText w:val="(%1)"/>
      <w:numFmt w:val="decimal"/>
      <w:start w:val="2"/>
    </w:lvl>
  </w:abstractNum>
  <w:abstractNum w:abstractNumId="152">
    <w:nsid w:val="3F06ECB2"/>
    <w:multiLevelType w:val="hybridMultilevel"/>
    <w:lvl w:ilvl="0">
      <w:lvlJc w:val="left"/>
      <w:lvlText w:val="(%1)"/>
      <w:numFmt w:val="lowerRoman"/>
      <w:start w:val="3"/>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
      <w:numFmt w:val="bullet"/>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2026-05-14T08:33:13Z</dcterms:created>
  <dcterms:modified xsi:type="dcterms:W3CDTF">2026-05-14T08:33:13Z</dcterms:modified>
</cp:coreProperties>
</file>