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Fervo Energy Company</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tbl>
      <w:tblPr>
        <w:tblLayout w:type="fixed"/>
        <w:tblInd w:w="1460" w:type="dxa"/>
        <w:tblCellMar>
          <w:top w:w="0" w:type="dxa"/>
          <w:left w:w="0" w:type="dxa"/>
          <w:bottom w:w="0" w:type="dxa"/>
          <w:right w:w="0" w:type="dxa"/>
        </w:tblCellMar>
      </w:tblPr>
      <w:tr>
        <w:trPr>
          <w:trHeight w:val="238"/>
        </w:trPr>
        <w:tc>
          <w:tcPr>
            <w:tcW w:w="2000" w:type="dxa"/>
            <w:vAlign w:val="bottom"/>
          </w:tcPr>
          <w:p>
            <w:pPr>
              <w:jc w:val="center"/>
              <w:ind w:right="2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001-43285</w:t>
            </w:r>
          </w:p>
        </w:tc>
        <w:tc>
          <w:tcPr>
            <w:tcW w:w="1840" w:type="dxa"/>
            <w:vAlign w:val="bottom"/>
          </w:tcPr>
          <w:p>
            <w:pPr>
              <w:jc w:val="center"/>
              <w:ind w:left="322"/>
              <w:spacing w:after="0"/>
              <w:rPr>
                <w:sz w:val="20"/>
                <w:szCs w:val="20"/>
                <w:color w:val="auto"/>
              </w:rPr>
            </w:pPr>
            <w:r>
              <w:rPr>
                <w:rFonts w:ascii="Times New Roman" w:cs="Times New Roman" w:eastAsia="Times New Roman" w:hAnsi="Times New Roman"/>
                <w:sz w:val="18"/>
                <w:szCs w:val="18"/>
                <w:b w:val="1"/>
                <w:bCs w:val="1"/>
                <w:color w:val="auto"/>
              </w:rPr>
              <w:t>82-3168838</w:t>
            </w:r>
          </w:p>
        </w:tc>
      </w:tr>
      <w:tr>
        <w:trPr>
          <w:trHeight w:val="164"/>
        </w:trPr>
        <w:tc>
          <w:tcPr>
            <w:tcW w:w="2000" w:type="dxa"/>
            <w:vAlign w:val="bottom"/>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840" w:type="dxa"/>
            <w:vAlign w:val="bottom"/>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00" w:type="dxa"/>
            <w:vAlign w:val="bottom"/>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40" w:type="dxa"/>
            <w:vAlign w:val="bottom"/>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528"/>
        </w:trPr>
        <w:tc>
          <w:tcPr>
            <w:tcW w:w="2000" w:type="dxa"/>
            <w:vAlign w:val="bottom"/>
          </w:tcPr>
          <w:p>
            <w:pPr>
              <w:spacing w:after="0"/>
              <w:rPr>
                <w:sz w:val="24"/>
                <w:szCs w:val="24"/>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811 Main Street</w:t>
            </w:r>
          </w:p>
        </w:tc>
        <w:tc>
          <w:tcPr>
            <w:tcW w:w="1840" w:type="dxa"/>
            <w:vAlign w:val="bottom"/>
          </w:tcPr>
          <w:p>
            <w:pPr>
              <w:spacing w:after="0"/>
              <w:rPr>
                <w:sz w:val="24"/>
                <w:szCs w:val="24"/>
                <w:color w:val="auto"/>
              </w:rPr>
            </w:pPr>
          </w:p>
        </w:tc>
      </w:tr>
      <w:tr>
        <w:trPr>
          <w:trHeight w:val="216"/>
        </w:trPr>
        <w:tc>
          <w:tcPr>
            <w:tcW w:w="20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Suite 1700</w:t>
            </w:r>
          </w:p>
        </w:tc>
        <w:tc>
          <w:tcPr>
            <w:tcW w:w="1840" w:type="dxa"/>
            <w:vAlign w:val="bottom"/>
          </w:tcPr>
          <w:p>
            <w:pPr>
              <w:spacing w:after="0"/>
              <w:rPr>
                <w:sz w:val="18"/>
                <w:szCs w:val="18"/>
                <w:color w:val="auto"/>
              </w:rPr>
            </w:pPr>
          </w:p>
        </w:tc>
      </w:tr>
      <w:tr>
        <w:trPr>
          <w:trHeight w:val="214"/>
        </w:trPr>
        <w:tc>
          <w:tcPr>
            <w:tcW w:w="20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Houston, TX 77002</w:t>
            </w:r>
          </w:p>
        </w:tc>
        <w:tc>
          <w:tcPr>
            <w:tcW w:w="1840" w:type="dxa"/>
            <w:vAlign w:val="bottom"/>
          </w:tcPr>
          <w:p>
            <w:pPr>
              <w:spacing w:after="0"/>
              <w:rPr>
                <w:sz w:val="18"/>
                <w:szCs w:val="18"/>
                <w:color w:val="auto"/>
              </w:rPr>
            </w:pPr>
          </w:p>
        </w:tc>
      </w:tr>
      <w:tr>
        <w:trPr>
          <w:trHeight w:val="190"/>
        </w:trPr>
        <w:tc>
          <w:tcPr>
            <w:tcW w:w="2000" w:type="dxa"/>
            <w:vAlign w:val="bottom"/>
          </w:tcPr>
          <w:p>
            <w:pPr>
              <w:spacing w:after="0"/>
              <w:rPr>
                <w:sz w:val="16"/>
                <w:szCs w:val="16"/>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840" w:type="dxa"/>
            <w:vAlign w:val="bottom"/>
          </w:tcPr>
          <w:p>
            <w:pPr>
              <w:spacing w:after="0"/>
              <w:rPr>
                <w:sz w:val="16"/>
                <w:szCs w:val="16"/>
                <w:color w:val="auto"/>
              </w:rPr>
            </w:pPr>
          </w:p>
        </w:tc>
      </w:tr>
    </w:tbl>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(832) 554-3253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260" w:hanging="234"/>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260" w:hanging="234"/>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40" w:hanging="214"/>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left="240" w:hanging="214"/>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6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5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5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5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5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5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32"/>
        </w:trPr>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 share</w:t>
            </w:r>
          </w:p>
        </w:tc>
        <w:tc>
          <w:tcPr>
            <w:tcW w:w="8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FRVO</w:t>
            </w:r>
          </w:p>
        </w:tc>
        <w:tc>
          <w:tcPr>
            <w:tcW w:w="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4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90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3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3" w:right="339" w:bottom="77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May 12, 2026, in connection with the initial public offering of shares of Fervo Energy Company’s (the “Company”) Class A common stock, par value $0.0001 per share (the “Class A Common Stock”), the Company filed its amended and restated certificate of incorporation (the “Certificate of Incorporation”) with the Secretary of State of the State of Delaware, and its amended and restated bylaws (the “Bylaws”) became effective. As described in the Company’s Registration Statement on Form S-1 (File No. 333-295165), as amended (the “Registration Statement”), the Company’s board of directors and stockholders previously approved the amendment and restatement of the Certificate of Incorporation and the Bylaws, and each became effective on May 12, 2026 in connection with the offering. A description of certain provisions of the Certificate of Incorporation and the Bylaws is included in the section titled “Description of Capital Stock” in the Registration Statement.</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Certificate of Incorporation and the Bylaws is qualified in its entirety by reference to the full text of the Certificate of Incorporation and the Bylaws, which are filed as Exhibits 3.1 and 3.2 hereto, respectively, and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May 14, 2026, the Company completed its initial public offering of an aggregate of 80,500,000 shares of Class A Common Stock at a price to the public of $27.00 per share, which includes the exercise in full by the underwriters of their option to purchase from the Company an additional 10,500,000 shares of the Class A Common Stock. The gross proceeds to the Company from the initial public offering were approximately $2.174 billion, before deducting underwriting discounts and commissions and estimated offering expenses payable by the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The following exhibits are being filed herewith:</w:t>
      </w: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56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3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27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4"/>
                <w:szCs w:val="24"/>
                <w:color w:val="auto"/>
              </w:rPr>
            </w:pPr>
          </w:p>
        </w:tc>
        <w:tc>
          <w:tcPr>
            <w:tcW w:w="5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Amended and Restated Certificate of Incorporation of Fervo Energy Company</w:t>
            </w:r>
          </w:p>
        </w:tc>
        <w:tc>
          <w:tcPr>
            <w:tcW w:w="4200" w:type="dxa"/>
            <w:vAlign w:val="bottom"/>
          </w:tcPr>
          <w:p>
            <w:pPr>
              <w:spacing w:after="0"/>
              <w:rPr>
                <w:sz w:val="24"/>
                <w:szCs w:val="24"/>
                <w:color w:val="auto"/>
              </w:rPr>
            </w:pPr>
          </w:p>
        </w:tc>
      </w:tr>
      <w:tr>
        <w:trPr>
          <w:trHeight w:val="31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4"/>
                <w:szCs w:val="24"/>
                <w:color w:val="auto"/>
              </w:rPr>
            </w:pPr>
          </w:p>
        </w:tc>
        <w:tc>
          <w:tcPr>
            <w:tcW w:w="4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Amended and Restated Bylaws of Fervo Energy Company</w:t>
            </w:r>
          </w:p>
        </w:tc>
        <w:tc>
          <w:tcPr>
            <w:tcW w:w="5640" w:type="dxa"/>
            <w:vAlign w:val="bottom"/>
            <w:gridSpan w:val="2"/>
          </w:tcPr>
          <w:p>
            <w:pPr>
              <w:spacing w:after="0"/>
              <w:rPr>
                <w:sz w:val="24"/>
                <w:szCs w:val="24"/>
                <w:color w:val="auto"/>
              </w:rPr>
            </w:pPr>
          </w:p>
        </w:tc>
      </w:tr>
    </w:tbl>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2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802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Fervo Energy Company</w:t>
            </w:r>
          </w:p>
        </w:tc>
      </w:tr>
      <w:tr>
        <w:trPr>
          <w:trHeight w:val="44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258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Timothy Latimer</w:t>
            </w:r>
          </w:p>
        </w:tc>
      </w:tr>
      <w:tr>
        <w:trPr>
          <w:trHeight w:val="218"/>
        </w:trPr>
        <w:tc>
          <w:tcPr>
            <w:tcW w:w="32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Latimer</w:t>
            </w:r>
          </w:p>
        </w:tc>
      </w:tr>
      <w:tr>
        <w:trPr>
          <w:trHeight w:val="234"/>
        </w:trPr>
        <w:tc>
          <w:tcPr>
            <w:tcW w:w="32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1</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86"/>
          <w:szCs w:val="86"/>
          <w:u w:val="single" w:color="auto"/>
          <w:color w:val="auto"/>
        </w:rPr>
        <w:t>Delaware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color w:val="auto"/>
        </w:rPr>
        <w:t>The First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594360</wp:posOffset>
            </wp:positionV>
            <wp:extent cx="1234440" cy="10801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300" w:firstLine="648"/>
        <w:spacing w:after="0" w:line="283" w:lineRule="auto"/>
        <w:rPr>
          <w:sz w:val="20"/>
          <w:szCs w:val="20"/>
          <w:color w:val="auto"/>
        </w:rPr>
      </w:pPr>
      <w:r>
        <w:rPr>
          <w:rFonts w:ascii="Courier New" w:cs="Courier New" w:eastAsia="Courier New" w:hAnsi="Courier New"/>
          <w:sz w:val="18"/>
          <w:szCs w:val="18"/>
          <w:b w:val="1"/>
          <w:bCs w:val="1"/>
          <w:i w:val="1"/>
          <w:iCs w:val="1"/>
          <w:color w:val="auto"/>
        </w:rPr>
        <w:t>I, CHARUNI PATIBANDA-SANCHEZ, SECRETARY OF STATE OF THE STATE OF DELAWARE, DO HEREBY CERTIFY THE ATTACHED IS A TRUE AND CORRECT COPY OF THE RESTATED</w:t>
      </w:r>
      <w:r>
        <w:rPr>
          <w:rFonts w:ascii="Arial" w:cs="Arial" w:eastAsia="Arial" w:hAnsi="Arial"/>
          <w:sz w:val="19"/>
          <w:szCs w:val="19"/>
          <w:color w:val="auto"/>
        </w:rPr>
        <w:t>/s/</w:t>
      </w:r>
      <w:r>
        <w:rPr>
          <w:rFonts w:ascii="Courier New" w:cs="Courier New" w:eastAsia="Courier New" w:hAnsi="Courier New"/>
          <w:sz w:val="18"/>
          <w:szCs w:val="18"/>
          <w:b w:val="1"/>
          <w:bCs w:val="1"/>
          <w:i w:val="1"/>
          <w:iCs w:val="1"/>
          <w:color w:val="auto"/>
        </w:rPr>
        <w:t>CERTIFICATE</w:t>
      </w:r>
      <w:r>
        <w:rPr>
          <w:rFonts w:ascii="Arial" w:cs="Arial" w:eastAsia="Arial" w:hAnsi="Arial"/>
          <w:sz w:val="19"/>
          <w:szCs w:val="19"/>
          <w:color w:val="auto"/>
        </w:rPr>
        <w:t>C.P.Sanchez</w:t>
      </w:r>
      <w:r>
        <w:rPr>
          <w:rFonts w:ascii="Courier New" w:cs="Courier New" w:eastAsia="Courier New" w:hAnsi="Courier New"/>
          <w:sz w:val="18"/>
          <w:szCs w:val="18"/>
          <w:b w:val="1"/>
          <w:bCs w:val="1"/>
          <w:i w:val="1"/>
          <w:iCs w:val="1"/>
          <w:color w:val="auto"/>
        </w:rPr>
        <w:t xml:space="preserve"> OF “FERVO ENERGY</w:t>
      </w:r>
    </w:p>
    <w:p>
      <w:pPr>
        <w:spacing w:after="0"/>
        <w:rPr>
          <w:sz w:val="20"/>
          <w:szCs w:val="20"/>
          <w:color w:val="auto"/>
        </w:rPr>
      </w:pPr>
      <w:r>
        <w:rPr>
          <w:rFonts w:ascii="Courier New" w:cs="Courier New" w:eastAsia="Courier New" w:hAnsi="Courier New"/>
          <w:sz w:val="16"/>
          <w:szCs w:val="16"/>
          <w:b w:val="1"/>
          <w:bCs w:val="1"/>
          <w:i w:val="1"/>
          <w:iCs w:val="1"/>
          <w:color w:val="auto"/>
        </w:rPr>
        <w:t xml:space="preserve">COMPANY”, FILED IN THIS OFFICE ON THE TWELFTH DAY OF MAY, A.D. </w:t>
      </w:r>
      <w:r>
        <w:rPr>
          <w:rFonts w:ascii="Arial" w:cs="Arial" w:eastAsia="Arial" w:hAnsi="Arial"/>
          <w:sz w:val="10"/>
          <w:szCs w:val="10"/>
          <w:b w:val="1"/>
          <w:bCs w:val="1"/>
          <w:color w:val="auto"/>
        </w:rPr>
        <w:t>Charuni</w:t>
      </w:r>
      <w:r>
        <w:rPr>
          <w:rFonts w:ascii="Courier New" w:cs="Courier New" w:eastAsia="Courier New" w:hAnsi="Courier New"/>
          <w:sz w:val="16"/>
          <w:szCs w:val="16"/>
          <w:b w:val="1"/>
          <w:bCs w:val="1"/>
          <w:i w:val="1"/>
          <w:iCs w:val="1"/>
          <w:color w:val="auto"/>
        </w:rPr>
        <w:t>2026,</w:t>
      </w:r>
      <w:r>
        <w:rPr>
          <w:rFonts w:ascii="Arial" w:cs="Arial" w:eastAsia="Arial" w:hAnsi="Arial"/>
          <w:sz w:val="10"/>
          <w:szCs w:val="10"/>
          <w:b w:val="1"/>
          <w:bCs w:val="1"/>
          <w:color w:val="auto"/>
        </w:rPr>
        <w:t>Patibanda</w:t>
      </w:r>
      <w:r>
        <w:rPr>
          <w:rFonts w:ascii="Courier New" w:cs="Courier New" w:eastAsia="Courier New" w:hAnsi="Courier New"/>
          <w:sz w:val="16"/>
          <w:szCs w:val="16"/>
          <w:b w:val="1"/>
          <w:bCs w:val="1"/>
          <w:i w:val="1"/>
          <w:iCs w:val="1"/>
          <w:color w:val="auto"/>
        </w:rPr>
        <w:t>AT</w:t>
      </w:r>
      <w:r>
        <w:rPr>
          <w:rFonts w:ascii="Arial" w:cs="Arial" w:eastAsia="Arial" w:hAnsi="Arial"/>
          <w:sz w:val="10"/>
          <w:szCs w:val="10"/>
          <w:b w:val="1"/>
          <w:bCs w:val="1"/>
          <w:color w:val="auto"/>
        </w:rPr>
        <w:t>-Sanchez,</w:t>
      </w:r>
      <w:r>
        <w:rPr>
          <w:rFonts w:ascii="Courier New" w:cs="Courier New" w:eastAsia="Courier New" w:hAnsi="Courier New"/>
          <w:sz w:val="16"/>
          <w:szCs w:val="16"/>
          <w:b w:val="1"/>
          <w:bCs w:val="1"/>
          <w:i w:val="1"/>
          <w:iCs w:val="1"/>
          <w:color w:val="auto"/>
        </w:rPr>
        <w:t xml:space="preserve">8:08 </w:t>
      </w:r>
      <w:r>
        <w:rPr>
          <w:rFonts w:ascii="Arial" w:cs="Arial" w:eastAsia="Arial" w:hAnsi="Arial"/>
          <w:sz w:val="10"/>
          <w:szCs w:val="10"/>
          <w:b w:val="1"/>
          <w:bCs w:val="1"/>
          <w:color w:val="auto"/>
        </w:rPr>
        <w:t>Secretary</w:t>
      </w:r>
      <w:r>
        <w:rPr>
          <w:rFonts w:ascii="Courier New" w:cs="Courier New" w:eastAsia="Courier New" w:hAnsi="Courier New"/>
          <w:sz w:val="16"/>
          <w:szCs w:val="16"/>
          <w:b w:val="1"/>
          <w:bCs w:val="1"/>
          <w:i w:val="1"/>
          <w:iCs w:val="1"/>
          <w:color w:val="auto"/>
        </w:rPr>
        <w:t>O`CLOCK</w:t>
      </w:r>
      <w:r>
        <w:rPr>
          <w:rFonts w:ascii="Arial" w:cs="Arial" w:eastAsia="Arial" w:hAnsi="Arial"/>
          <w:sz w:val="10"/>
          <w:szCs w:val="10"/>
          <w:b w:val="1"/>
          <w:bCs w:val="1"/>
          <w:color w:val="auto"/>
        </w:rPr>
        <w:t>ofState</w:t>
      </w:r>
      <w:r>
        <w:rPr>
          <w:rFonts w:ascii="Courier New" w:cs="Courier New" w:eastAsia="Courier New" w:hAnsi="Courier New"/>
          <w:sz w:val="16"/>
          <w:szCs w:val="16"/>
          <w:b w:val="1"/>
          <w:bCs w:val="1"/>
          <w:i w:val="1"/>
          <w:iCs w:val="1"/>
          <w:color w:val="auto"/>
        </w:rPr>
        <w:t>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-104140</wp:posOffset>
            </wp:positionV>
            <wp:extent cx="24599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5280" w:type="dxa"/>
            <w:vAlign w:val="bottom"/>
          </w:tcPr>
          <w:p>
            <w:pPr>
              <w:spacing w:after="0"/>
              <w:rPr>
                <w:sz w:val="20"/>
                <w:szCs w:val="20"/>
                <w:color w:val="auto"/>
              </w:rPr>
            </w:pPr>
            <w:r>
              <w:rPr>
                <w:rFonts w:ascii="Arial" w:cs="Arial" w:eastAsia="Arial" w:hAnsi="Arial"/>
                <w:sz w:val="18"/>
                <w:szCs w:val="18"/>
                <w:color w:val="auto"/>
              </w:rPr>
              <w:t>6423450 8100</w:t>
            </w:r>
          </w:p>
        </w:tc>
        <w:tc>
          <w:tcPr>
            <w:tcW w:w="5920" w:type="dxa"/>
            <w:vAlign w:val="bottom"/>
          </w:tcPr>
          <w:p>
            <w:pPr>
              <w:jc w:val="right"/>
              <w:spacing w:after="0"/>
              <w:rPr>
                <w:sz w:val="20"/>
                <w:szCs w:val="20"/>
                <w:color w:val="auto"/>
              </w:rPr>
            </w:pPr>
            <w:r>
              <w:rPr>
                <w:rFonts w:ascii="Arial" w:cs="Arial" w:eastAsia="Arial" w:hAnsi="Arial"/>
                <w:sz w:val="18"/>
                <w:szCs w:val="18"/>
                <w:color w:val="auto"/>
              </w:rPr>
              <w:t>Authentication: 203912520</w:t>
            </w:r>
          </w:p>
        </w:tc>
      </w:tr>
      <w:tr>
        <w:trPr>
          <w:trHeight w:val="257"/>
        </w:trPr>
        <w:tc>
          <w:tcPr>
            <w:tcW w:w="5280" w:type="dxa"/>
            <w:vAlign w:val="bottom"/>
          </w:tcPr>
          <w:p>
            <w:pPr>
              <w:spacing w:after="0"/>
              <w:rPr>
                <w:sz w:val="20"/>
                <w:szCs w:val="20"/>
                <w:color w:val="auto"/>
              </w:rPr>
            </w:pPr>
            <w:r>
              <w:rPr>
                <w:rFonts w:ascii="Arial" w:cs="Arial" w:eastAsia="Arial" w:hAnsi="Arial"/>
                <w:sz w:val="18"/>
                <w:szCs w:val="18"/>
                <w:color w:val="auto"/>
              </w:rPr>
              <w:t>SR# 20262492655</w:t>
            </w:r>
          </w:p>
        </w:tc>
        <w:tc>
          <w:tcPr>
            <w:tcW w:w="5920" w:type="dxa"/>
            <w:vAlign w:val="bottom"/>
          </w:tcPr>
          <w:p>
            <w:pPr>
              <w:jc w:val="right"/>
              <w:spacing w:after="0"/>
              <w:rPr>
                <w:sz w:val="20"/>
                <w:szCs w:val="20"/>
                <w:color w:val="auto"/>
              </w:rPr>
            </w:pPr>
            <w:r>
              <w:rPr>
                <w:rFonts w:ascii="Arial" w:cs="Arial" w:eastAsia="Arial" w:hAnsi="Arial"/>
                <w:sz w:val="18"/>
                <w:szCs w:val="18"/>
                <w:color w:val="auto"/>
              </w:rPr>
              <w:t>Date: 05-12-26</w:t>
            </w:r>
          </w:p>
        </w:tc>
      </w:tr>
    </w:tbl>
    <w:p>
      <w:pPr>
        <w:spacing w:after="0" w:line="262" w:lineRule="exact"/>
        <w:rPr>
          <w:sz w:val="20"/>
          <w:szCs w:val="20"/>
          <w:color w:val="auto"/>
        </w:rPr>
      </w:pPr>
    </w:p>
    <w:p>
      <w:pPr>
        <w:ind w:left="20"/>
        <w:spacing w:after="0"/>
        <w:rPr>
          <w:sz w:val="20"/>
          <w:szCs w:val="20"/>
          <w:color w:val="auto"/>
        </w:rPr>
      </w:pPr>
      <w:r>
        <w:rPr>
          <w:rFonts w:ascii="Arial" w:cs="Arial" w:eastAsia="Arial" w:hAnsi="Arial"/>
          <w:sz w:val="13"/>
          <w:szCs w:val="13"/>
          <w:color w:val="auto"/>
        </w:rPr>
        <w:t>You may verify this certificate online at corp.delaware.gov/authver.shtml</w:t>
      </w:r>
    </w:p>
    <w:p>
      <w:pPr>
        <w:sectPr>
          <w:pgSz w:w="11900" w:h="16838" w:orient="portrait"/>
          <w:cols w:equalWidth="0" w:num="1">
            <w:col w:w="11240"/>
          </w:cols>
          <w:pgMar w:left="320" w:top="104" w:right="339" w:bottom="1440" w:gutter="0" w:footer="0" w:header="0"/>
        </w:sectPr>
      </w:pPr>
    </w:p>
    <w:bookmarkStart w:id="4" w:name="page5"/>
    <w:bookmarkEnd w:id="4"/>
    <w:p>
      <w:pPr>
        <w:jc w:val="center"/>
        <w:ind w:right="1680"/>
        <w:spacing w:after="0"/>
        <w:rPr>
          <w:sz w:val="20"/>
          <w:szCs w:val="20"/>
          <w:color w:val="auto"/>
        </w:rPr>
      </w:pPr>
      <w:r>
        <w:rPr>
          <w:rFonts w:ascii="Times New Roman" w:cs="Times New Roman" w:eastAsia="Times New Roman" w:hAnsi="Times New Roman"/>
          <w:sz w:val="20"/>
          <w:szCs w:val="20"/>
          <w:b w:val="1"/>
          <w:bCs w:val="1"/>
          <w:color w:val="auto"/>
        </w:rPr>
        <w:t>SEVENTH AMENDED AND RESTATED CERTIFICATE OF INCORPORATION</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FERVO ENERGY COMPANY</w:t>
      </w:r>
    </w:p>
    <w:p>
      <w:pPr>
        <w:spacing w:after="0" w:line="200" w:lineRule="exact"/>
        <w:rPr>
          <w:sz w:val="20"/>
          <w:szCs w:val="20"/>
          <w:color w:val="auto"/>
        </w:rPr>
      </w:pPr>
    </w:p>
    <w:p>
      <w:pPr>
        <w:spacing w:after="0" w:line="339"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22"/>
          <w:szCs w:val="22"/>
          <w:color w:val="auto"/>
        </w:rPr>
        <w:t>Fervo Energy Company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a corporation organized and existing under the General Corporation Law of the State of Delaware (the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 does hereby certify as follows:</w:t>
      </w:r>
    </w:p>
    <w:p>
      <w:pPr>
        <w:spacing w:after="0" w:line="144" w:lineRule="exact"/>
        <w:rPr>
          <w:sz w:val="20"/>
          <w:szCs w:val="20"/>
          <w:color w:val="auto"/>
        </w:rPr>
      </w:pPr>
    </w:p>
    <w:p>
      <w:pPr>
        <w:ind w:right="400" w:firstLine="656"/>
        <w:spacing w:after="0" w:line="271" w:lineRule="auto"/>
        <w:tabs>
          <w:tab w:leader="none" w:pos="129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of the Corporation is Fervo Energy Company. The Corporation was incorporated by the filing of its original Certificate of Incorporation with the Secretary of State of the State of Delaware on May 26, 2017.</w:t>
      </w:r>
    </w:p>
    <w:p>
      <w:pPr>
        <w:spacing w:after="0" w:line="157" w:lineRule="exact"/>
        <w:rPr>
          <w:rFonts w:ascii="Times New Roman" w:cs="Times New Roman" w:eastAsia="Times New Roman" w:hAnsi="Times New Roman"/>
          <w:sz w:val="22"/>
          <w:szCs w:val="22"/>
          <w:color w:val="auto"/>
        </w:rPr>
      </w:pPr>
    </w:p>
    <w:p>
      <w:pPr>
        <w:ind w:firstLine="656"/>
        <w:spacing w:after="0" w:line="253" w:lineRule="auto"/>
        <w:tabs>
          <w:tab w:leader="none" w:pos="129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Seventh Amended and Restated Certificate of Incorporation (the </w:t>
      </w:r>
      <w:r>
        <w:rPr>
          <w:rFonts w:ascii="Times New Roman" w:cs="Times New Roman" w:eastAsia="Times New Roman" w:hAnsi="Times New Roman"/>
          <w:sz w:val="22"/>
          <w:szCs w:val="22"/>
          <w:u w:val="single" w:color="auto"/>
          <w:color w:val="auto"/>
        </w:rPr>
        <w:t>“Restated Certificate</w:t>
      </w:r>
      <w:r>
        <w:rPr>
          <w:rFonts w:ascii="Times New Roman" w:cs="Times New Roman" w:eastAsia="Times New Roman" w:hAnsi="Times New Roman"/>
          <w:sz w:val="22"/>
          <w:szCs w:val="22"/>
          <w:color w:val="auto"/>
        </w:rPr>
        <w:t xml:space="preserve">”), which amends, restates and further integrates the Amended and Restated Certificate of Incorporation of the Corporation as heretofore in effect, has been approved by the Board of Directors of the Corporation (the </w:t>
      </w: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 in accordance with Sections 242 and 245 of the DGCL, and has been adopted by the written consent of the stockholders of the Corporation in accordance with Section 228 of the DGCL.</w:t>
      </w:r>
    </w:p>
    <w:p>
      <w:pPr>
        <w:spacing w:after="0" w:line="178" w:lineRule="exact"/>
        <w:rPr>
          <w:rFonts w:ascii="Times New Roman" w:cs="Times New Roman" w:eastAsia="Times New Roman" w:hAnsi="Times New Roman"/>
          <w:sz w:val="22"/>
          <w:szCs w:val="22"/>
          <w:color w:val="auto"/>
        </w:rPr>
      </w:pPr>
    </w:p>
    <w:p>
      <w:pPr>
        <w:ind w:right="220" w:firstLine="656"/>
        <w:spacing w:after="0" w:line="263" w:lineRule="auto"/>
        <w:tabs>
          <w:tab w:leader="none" w:pos="129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text of the Seventh Amended and Restated Certificate of Incorporation of the Corporation, as heretofore amended, is hereby amended and restated by this Restated Certificate to read in its entirety as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w:t>
      </w:r>
    </w:p>
    <w:p>
      <w:pPr>
        <w:spacing w:after="0" w:line="167"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Fervo Energy Company has caused this Restated Certificate to be signed by a duly authorized officer of the Corporation, on May 12, 2026.</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Fervo Energy Company</w:t>
      </w:r>
      <w:r>
        <w:rPr>
          <w:rFonts w:ascii="Times New Roman" w:cs="Times New Roman" w:eastAsia="Times New Roman" w:hAnsi="Times New Roman"/>
          <w:sz w:val="22"/>
          <w:szCs w:val="22"/>
          <w:color w:val="auto"/>
        </w:rPr>
        <w:t>, a Delaware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220"/>
        <w:spacing w:after="0"/>
        <w:tabs>
          <w:tab w:leader="none" w:pos="4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Latimer</w:t>
      </w:r>
    </w:p>
    <w:p>
      <w:pPr>
        <w:spacing w:after="0" w:line="27" w:lineRule="exact"/>
        <w:rPr>
          <w:sz w:val="20"/>
          <w:szCs w:val="20"/>
          <w:color w:val="auto"/>
        </w:rPr>
      </w:pPr>
    </w:p>
    <w:p>
      <w:pPr>
        <w:ind w:left="4220"/>
        <w:spacing w:after="0"/>
        <w:tabs>
          <w:tab w:leader="none" w:pos="4860" w:val="left"/>
        </w:tabs>
        <w:rPr>
          <w:sz w:val="20"/>
          <w:szCs w:val="20"/>
          <w:color w:val="auto"/>
        </w:rPr>
      </w:pPr>
      <w:r>
        <w:rPr>
          <w:rFonts w:ascii="Times New Roman" w:cs="Times New Roman" w:eastAsia="Times New Roman" w:hAnsi="Times New Roman"/>
          <w:sz w:val="18"/>
          <w:szCs w:val="18"/>
          <w:color w:val="auto"/>
        </w:rPr>
        <w:t>Name:</w:t>
        <w:tab/>
        <w:t>Timothy Latimer</w:t>
      </w:r>
    </w:p>
    <w:p>
      <w:pPr>
        <w:spacing w:after="0" w:line="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Chief Executive Officer, Chair of the</w:t>
      </w:r>
    </w:p>
    <w:p>
      <w:pPr>
        <w:ind w:left="4220"/>
        <w:spacing w:after="0"/>
        <w:tabs>
          <w:tab w:leader="none" w:pos="4860" w:val="left"/>
        </w:tabs>
        <w:rPr>
          <w:sz w:val="20"/>
          <w:szCs w:val="20"/>
          <w:color w:val="auto"/>
        </w:rPr>
      </w:pPr>
      <w:r>
        <w:rPr>
          <w:rFonts w:ascii="Times New Roman" w:cs="Times New Roman" w:eastAsia="Times New Roman" w:hAnsi="Times New Roman"/>
          <w:sz w:val="18"/>
          <w:szCs w:val="18"/>
          <w:color w:val="auto"/>
        </w:rPr>
        <w:t>Title:</w:t>
        <w:tab/>
        <w:t>Board</w:t>
      </w: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State of Delaware</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Secretary of State</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Division of Corporations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Delivered 08:08 PM 05/12/2026</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FILED 08:08 PM 05/12/2026</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SR 20262492655 - File Number 6423450</w:t>
      </w:r>
    </w:p>
    <w:p>
      <w:pPr>
        <w:sectPr>
          <w:pgSz w:w="11900" w:h="16838" w:orient="portrait"/>
          <w:cols w:equalWidth="0" w:num="1">
            <w:col w:w="11200"/>
          </w:cols>
          <w:pgMar w:left="320" w:top="1409" w:right="379" w:bottom="1440" w:gutter="0" w:footer="0" w:header="0"/>
        </w:sectPr>
      </w:pPr>
    </w:p>
    <w:bookmarkStart w:id="5" w:name="page6"/>
    <w:bookmarkEnd w:id="5"/>
    <w:p>
      <w:pPr>
        <w:ind w:left="506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CERTIFICATE OF INCORPORATION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FERVO ENERGY COMPANY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name of the corporation is Fervo Energy Company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w:t>
      </w:r>
    </w:p>
    <w:p>
      <w:pPr>
        <w:spacing w:after="0" w:line="21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2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The address of the Corporation’s registered office in the State of Delaware is c/o Capitol Services, Inc., 108 Lakeland Avenue, Dover, Kent County, DE 19901, and the name of its registered agent at such address is Capitol Services, Inc,</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purpose of the Corporation is to engage in any lawful act or activity for which corporations may be organized under the General Corporation Law of the State of Delaware (the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 as it now exists or may hereafter be amended and supplemented,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3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total number of shares of capital stock which the Corporation is authorized to issue is 1,050,000,000 comprised of (i) 1,040,000,000 shares of common stock, $0,0001 par value per share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of which (a) 1,000,000,000 shares shall be a series designated as Class A Common Stock (the “</w:t>
      </w:r>
      <w:r>
        <w:rPr>
          <w:rFonts w:ascii="Times New Roman" w:cs="Times New Roman" w:eastAsia="Times New Roman" w:hAnsi="Times New Roman"/>
          <w:sz w:val="22"/>
          <w:szCs w:val="22"/>
          <w:u w:val="single" w:color="auto"/>
          <w:color w:val="auto"/>
        </w:rPr>
        <w:t>Class A Common Stock</w:t>
      </w:r>
      <w:r>
        <w:rPr>
          <w:rFonts w:ascii="Times New Roman" w:cs="Times New Roman" w:eastAsia="Times New Roman" w:hAnsi="Times New Roman"/>
          <w:sz w:val="22"/>
          <w:szCs w:val="22"/>
          <w:color w:val="auto"/>
        </w:rPr>
        <w:t>”), and (b) 40,000,000 shares shall be a series designated as Class B Common Stock (the “</w:t>
      </w:r>
      <w:r>
        <w:rPr>
          <w:rFonts w:ascii="Times New Roman" w:cs="Times New Roman" w:eastAsia="Times New Roman" w:hAnsi="Times New Roman"/>
          <w:sz w:val="22"/>
          <w:szCs w:val="22"/>
          <w:u w:val="single" w:color="auto"/>
          <w:color w:val="auto"/>
        </w:rPr>
        <w:t>Class B Common Stock</w:t>
      </w:r>
      <w:r>
        <w:rPr>
          <w:rFonts w:ascii="Times New Roman" w:cs="Times New Roman" w:eastAsia="Times New Roman" w:hAnsi="Times New Roman"/>
          <w:sz w:val="22"/>
          <w:szCs w:val="22"/>
          <w:color w:val="auto"/>
        </w:rPr>
        <w:t>”), and (ii) 10,000,000 shares of preferred stock, $0,0001 par value per share (the “</w:t>
      </w:r>
      <w:r>
        <w:rPr>
          <w:rFonts w:ascii="Times New Roman" w:cs="Times New Roman" w:eastAsia="Times New Roman" w:hAnsi="Times New Roman"/>
          <w:sz w:val="22"/>
          <w:szCs w:val="22"/>
          <w:u w:val="single" w:color="auto"/>
          <w:color w:val="auto"/>
        </w:rPr>
        <w:t>Preferred Stock</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Immediately upon the effectiveness of this Restated Certificate (the “</w:t>
      </w:r>
      <w:r>
        <w:rPr>
          <w:rFonts w:ascii="Times New Roman" w:cs="Times New Roman" w:eastAsia="Times New Roman" w:hAnsi="Times New Roman"/>
          <w:sz w:val="22"/>
          <w:szCs w:val="22"/>
          <w:u w:val="single" w:color="auto"/>
          <w:color w:val="auto"/>
        </w:rPr>
        <w:t>Split Effective Time</w:t>
      </w:r>
      <w:r>
        <w:rPr>
          <w:rFonts w:ascii="Times New Roman" w:cs="Times New Roman" w:eastAsia="Times New Roman" w:hAnsi="Times New Roman"/>
          <w:sz w:val="22"/>
          <w:szCs w:val="22"/>
          <w:color w:val="auto"/>
        </w:rPr>
        <w:t>”), each share of Common Stock issued and outstanding immediately prior to the Split Effective Time shall be automatically reclassified and converted into 0.7194 of a validly issued, fully paid and nonassessable share of Common Stock (and such reclassification and conversion, the “</w:t>
      </w:r>
      <w:r>
        <w:rPr>
          <w:rFonts w:ascii="Times New Roman" w:cs="Times New Roman" w:eastAsia="Times New Roman" w:hAnsi="Times New Roman"/>
          <w:sz w:val="22"/>
          <w:szCs w:val="22"/>
          <w:u w:val="single" w:color="auto"/>
          <w:color w:val="auto"/>
        </w:rPr>
        <w:t>Reverse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Stock Split</w:t>
      </w:r>
      <w:r>
        <w:rPr>
          <w:rFonts w:ascii="Times New Roman" w:cs="Times New Roman" w:eastAsia="Times New Roman" w:hAnsi="Times New Roman"/>
          <w:sz w:val="22"/>
          <w:szCs w:val="22"/>
          <w:color w:val="auto"/>
        </w:rPr>
        <w:t>”), without any action on the part of the Corporation or the holder thereof, subject to the treatment of fractional share interests as described below. The Reverse Stock Split shall also apply to shares of Common Stock held by the Corporation as treasury shares. No fractional shares shall be issued in connection with the Reverse Stock Split, Stockholders who otherwise would be entitled to receive fractional shares of Common Stock shall be entitled to receive cash (without interest or deduction) from the Corporation’s transfer agent in lieu of such fractional share interests upon the submission of a transmission letter by a stockholder holding shares in book-entry form and, where shares are held in certificated form, upon the surrender of the stockholder’s Old Certificates (as defined below), in an amount equal</w:t>
      </w:r>
    </w:p>
    <w:p>
      <w:pPr>
        <w:sectPr>
          <w:pgSz w:w="11900" w:h="16838" w:orient="portrait"/>
          <w:cols w:equalWidth="0" w:num="1">
            <w:col w:w="11240"/>
          </w:cols>
          <w:pgMar w:left="320" w:top="1418" w:right="339" w:bottom="1440" w:gutter="0" w:footer="0" w:header="0"/>
        </w:sectPr>
      </w:pPr>
    </w:p>
    <w:bookmarkStart w:id="6" w:name="page7"/>
    <w:bookmarkEnd w:id="6"/>
    <w:p>
      <w:pPr>
        <w:jc w:val="both"/>
        <w:spacing w:after="0" w:line="253" w:lineRule="auto"/>
        <w:rPr>
          <w:sz w:val="20"/>
          <w:szCs w:val="20"/>
          <w:color w:val="auto"/>
        </w:rPr>
      </w:pPr>
      <w:r>
        <w:rPr>
          <w:rFonts w:ascii="Times New Roman" w:cs="Times New Roman" w:eastAsia="Times New Roman" w:hAnsi="Times New Roman"/>
          <w:sz w:val="22"/>
          <w:szCs w:val="22"/>
          <w:color w:val="auto"/>
        </w:rPr>
        <w:t>to the product obtained by multiplying (a) the closing price of the Common Stock as reported on the Nasdaq Stock Market on the date of the Split Effective Time, by (b) the fraction of one share of Common Stock owned by the stockholder. Each certificate that immediately prior to the Split Effective Time represented shares of Common Stock (“</w:t>
      </w:r>
      <w:r>
        <w:rPr>
          <w:rFonts w:ascii="Times New Roman" w:cs="Times New Roman" w:eastAsia="Times New Roman" w:hAnsi="Times New Roman"/>
          <w:sz w:val="22"/>
          <w:szCs w:val="22"/>
          <w:u w:val="single" w:color="auto"/>
          <w:color w:val="auto"/>
        </w:rPr>
        <w:t>Old Certificates</w:t>
      </w:r>
      <w:r>
        <w:rPr>
          <w:rFonts w:ascii="Times New Roman" w:cs="Times New Roman" w:eastAsia="Times New Roman" w:hAnsi="Times New Roman"/>
          <w:sz w:val="22"/>
          <w:szCs w:val="22"/>
          <w:color w:val="auto"/>
        </w:rPr>
        <w:t>”), shall thereafter represent that number of shares of Common Stock into which the shares of Common Stock represented by the Old Certificate shall have been reclassified and converted, subject to the treatment of fractional shares as described above.</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number of authorized shares of Class A Common Stock, Class B Common Stock or Preferred Stock may be increased or decreased (but not below (i) the number of shares thereof then outstanding and (ii) with respect to the Class A Common Stock, the number of shares of Class A Common Stock reserved pursuant to Section 5 of Article V) without a separate vote of the holders of Class A Common Stock, Class B Common Stock or Preferred Stock, as applicable, irrespective of the provisions of Section 242(b)(2) of the DGCL.</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2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 designations and the powers, privileges and rights, and the qualifications, limitations or restrictions thereof in respect of each class of capital stock of the Corporation are as follows: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322"/>
        <w:spacing w:after="0" w:line="265" w:lineRule="auto"/>
        <w:tabs>
          <w:tab w:leader="none" w:pos="1935"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Except as otherwise provided herein or required by law, shares of Class A Common Stock and Class B Common Stock shall have the same rights, privileges, preferences and powers, rank equally (including as to dividends and distributions, and upon any liquidation, dissolution, distribution of assets or winding up of the Corporation), share ratably and be identical in all respects and as to all matters. The voting, dividend, liquidation and other rights, preferences and powers of the holders of Common Stock are subject to and qualified by the rights, powers and preferences of any series of Preferred Stock as may be designated by the Board of Directors of the Corporation (the “</w:t>
      </w:r>
      <w:r>
        <w:rPr>
          <w:rFonts w:ascii="Times New Roman" w:cs="Times New Roman" w:eastAsia="Times New Roman" w:hAnsi="Times New Roman"/>
          <w:sz w:val="21"/>
          <w:szCs w:val="21"/>
          <w:u w:val="single" w:color="auto"/>
          <w:color w:val="auto"/>
        </w:rPr>
        <w:t>Board of Directors</w:t>
      </w:r>
      <w:r>
        <w:rPr>
          <w:rFonts w:ascii="Times New Roman" w:cs="Times New Roman" w:eastAsia="Times New Roman" w:hAnsi="Times New Roman"/>
          <w:sz w:val="21"/>
          <w:szCs w:val="21"/>
          <w:color w:val="auto"/>
        </w:rPr>
        <w:t>”) and outstanding from time to time.</w:t>
      </w:r>
    </w:p>
    <w:p>
      <w:pPr>
        <w:spacing w:after="0" w:line="168" w:lineRule="exact"/>
        <w:rPr>
          <w:rFonts w:ascii="Times New Roman" w:cs="Times New Roman" w:eastAsia="Times New Roman" w:hAnsi="Times New Roman"/>
          <w:sz w:val="21"/>
          <w:szCs w:val="21"/>
          <w:color w:val="auto"/>
        </w:rPr>
      </w:pPr>
    </w:p>
    <w:p>
      <w:pPr>
        <w:jc w:val="both"/>
        <w:ind w:firstLine="1304"/>
        <w:spacing w:after="0" w:line="248" w:lineRule="auto"/>
        <w:tabs>
          <w:tab w:leader="none" w:pos="194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Voting</w:t>
      </w:r>
      <w:r>
        <w:rPr>
          <w:rFonts w:ascii="Times New Roman" w:cs="Times New Roman" w:eastAsia="Times New Roman" w:hAnsi="Times New Roman"/>
          <w:sz w:val="22"/>
          <w:szCs w:val="22"/>
          <w:color w:val="auto"/>
        </w:rPr>
        <w:t>, Except as otherwise provided herein or expressly required by law, at all meetings of stockholders and on all matters submitted to a vote of stockholders of the Corporation generally, (i) each holder of Class A Common Stock, as such, shall have the right to one (1) vote per share of Class A Common Stock held of record by such holder, and (ii) each holder of Class B Common Stock, as such, shall have the right to forty (40) votes per share of Class B Common Stock held of record by such holder, Except as otherwise provided herein or required by law, the holders of shares of Class A Common Stock and Class B Common Stock, as such, shall (a) at all times vote together as a single class on all matters (including the election of directors) submitted to a vote of the stockholders of the Corporation generally, and (b) be entitled to notice of any stockholders’ meeting in accordance with the Amended and Restated Bylaws of the Corporation (as the same may be amended and/or restated from time to time, the “</w:t>
      </w:r>
      <w:r>
        <w:rPr>
          <w:rFonts w:ascii="Times New Roman" w:cs="Times New Roman" w:eastAsia="Times New Roman" w:hAnsi="Times New Roman"/>
          <w:sz w:val="22"/>
          <w:szCs w:val="22"/>
          <w:u w:val="single" w:color="auto"/>
          <w:color w:val="auto"/>
        </w:rPr>
        <w:t>Bylaws</w:t>
      </w:r>
      <w:r>
        <w:rPr>
          <w:rFonts w:ascii="Times New Roman" w:cs="Times New Roman" w:eastAsia="Times New Roman" w:hAnsi="Times New Roman"/>
          <w:sz w:val="22"/>
          <w:szCs w:val="22"/>
          <w:color w:val="auto"/>
        </w:rPr>
        <w:t>”); provided that, except as otherwise required by law, holders of Common Stock, as such, shall not be entitled to vote on any amendment to this Restated Certificate that relates solely to the terms of one or more outstanding series of Preferred Stock if the holders of such affected series are</w:t>
      </w:r>
    </w:p>
    <w:p>
      <w:pPr>
        <w:sectPr>
          <w:pgSz w:w="11900" w:h="16838" w:orient="portrait"/>
          <w:cols w:equalWidth="0" w:num="1">
            <w:col w:w="11240"/>
          </w:cols>
          <w:pgMar w:left="320" w:top="1422" w:right="339" w:bottom="1440" w:gutter="0" w:footer="0" w:header="0"/>
        </w:sectPr>
      </w:pPr>
    </w:p>
    <w:bookmarkStart w:id="7" w:name="page8"/>
    <w:bookmarkEnd w:id="7"/>
    <w:p>
      <w:pPr>
        <w:jc w:val="both"/>
        <w:spacing w:after="0" w:line="257" w:lineRule="auto"/>
        <w:rPr>
          <w:sz w:val="20"/>
          <w:szCs w:val="20"/>
          <w:color w:val="auto"/>
        </w:rPr>
      </w:pPr>
      <w:r>
        <w:rPr>
          <w:rFonts w:ascii="Times New Roman" w:cs="Times New Roman" w:eastAsia="Times New Roman" w:hAnsi="Times New Roman"/>
          <w:sz w:val="22"/>
          <w:szCs w:val="22"/>
          <w:color w:val="auto"/>
        </w:rPr>
        <w:t>entitled, either separately or together with the holders of one or more other such series, to vote thereon pursuant to this Restated Certificate (including any Certificate of Designation (as defined herein)) or pursuant to the DGCL, There shall be no cumulative voting.</w:t>
      </w:r>
    </w:p>
    <w:p>
      <w:pPr>
        <w:spacing w:after="0" w:line="186" w:lineRule="exact"/>
        <w:rPr>
          <w:sz w:val="20"/>
          <w:szCs w:val="20"/>
          <w:color w:val="auto"/>
        </w:rPr>
      </w:pPr>
    </w:p>
    <w:p>
      <w:pPr>
        <w:jc w:val="both"/>
        <w:ind w:firstLine="1304"/>
        <w:spacing w:after="0" w:line="260" w:lineRule="auto"/>
        <w:tabs>
          <w:tab w:leader="none" w:pos="1944"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Dividends</w:t>
      </w:r>
      <w:r>
        <w:rPr>
          <w:rFonts w:ascii="Times New Roman" w:cs="Times New Roman" w:eastAsia="Times New Roman" w:hAnsi="Times New Roman"/>
          <w:sz w:val="21"/>
          <w:szCs w:val="21"/>
          <w:color w:val="auto"/>
        </w:rPr>
        <w:t xml:space="preserve">. Subject to applicable law and the rights and preferences of any holders of any outstanding series of Preferred Stock, the holders of Common Stock, as such, shall be entitled to the payment of dividends on the Common Stock when, as and if declared by the Board of Directors in accordance with applicable law;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in the event a dividend is paid in the form of shares of Common Stock (or rights to acquire, or securities convertible into or exchangeable for, such shares), then holders of Class A Common Stock shall be entitled to receive shares of Class A Common Stock (or rights to acquire, or securities convertible into or exchangeable for, such shares, as the case may be) and holders of Class B Common Stock shall be entitled to receive shares of Class B Common Stock (or rights to acquire, or securities convertible into or exchangeable for, such shares, as the case may be), with holders of shares of Class A Common Stock and Class B Common Stock receiving, on a per share basis, an identical number of shares of Class A Common Stock or Class B Common Stock (or rights to acquire, or securities convertible into or exchangeable for, such shares, as the case may be), as applicable.</w:t>
      </w:r>
    </w:p>
    <w:p>
      <w:pPr>
        <w:spacing w:after="0" w:line="178" w:lineRule="exact"/>
        <w:rPr>
          <w:rFonts w:ascii="Times New Roman" w:cs="Times New Roman" w:eastAsia="Times New Roman" w:hAnsi="Times New Roman"/>
          <w:sz w:val="21"/>
          <w:szCs w:val="21"/>
          <w:color w:val="auto"/>
        </w:rPr>
      </w:pPr>
    </w:p>
    <w:p>
      <w:pPr>
        <w:ind w:left="1960" w:hanging="656"/>
        <w:spacing w:after="0"/>
        <w:tabs>
          <w:tab w:leader="none" w:pos="1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 of Class B Common Stock</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2600" w:hanging="324"/>
        <w:spacing w:after="0" w:line="252" w:lineRule="auto"/>
        <w:tabs>
          <w:tab w:leader="none" w:pos="2588"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Convert</w:t>
      </w:r>
      <w:r>
        <w:rPr>
          <w:rFonts w:ascii="Times New Roman" w:cs="Times New Roman" w:eastAsia="Times New Roman" w:hAnsi="Times New Roman"/>
          <w:sz w:val="22"/>
          <w:szCs w:val="22"/>
          <w:color w:val="auto"/>
        </w:rPr>
        <w:t>. At any time, any holder of shares of Class B Common Stock, at the option of such holder, may convert any share of Class B Common Stock held by such holder at any time after the date of issuance of such share, at the office of the Corporation or any transfer agent for such stock, into one (1) share of Class A Common Stock.</w:t>
      </w:r>
    </w:p>
    <w:p>
      <w:pPr>
        <w:spacing w:after="0" w:line="179" w:lineRule="exact"/>
        <w:rPr>
          <w:rFonts w:ascii="Times New Roman" w:cs="Times New Roman" w:eastAsia="Times New Roman" w:hAnsi="Times New Roman"/>
          <w:sz w:val="22"/>
          <w:szCs w:val="22"/>
          <w:color w:val="auto"/>
        </w:rPr>
      </w:pPr>
    </w:p>
    <w:p>
      <w:pPr>
        <w:jc w:val="both"/>
        <w:ind w:left="2600" w:hanging="324"/>
        <w:spacing w:after="0" w:line="248" w:lineRule="auto"/>
        <w:tabs>
          <w:tab w:leader="none" w:pos="260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Automatic Conversion of Class B Common Stock Upon Transfer</w:t>
      </w:r>
      <w:r>
        <w:rPr>
          <w:rFonts w:ascii="Times New Roman" w:cs="Times New Roman" w:eastAsia="Times New Roman" w:hAnsi="Times New Roman"/>
          <w:sz w:val="22"/>
          <w:szCs w:val="22"/>
          <w:color w:val="auto"/>
        </w:rPr>
        <w:t>. Each share of Class B Common Stock shall be automatically and immediately, without further action by the Corporation or the holder thereof, converted into one (1) validly issued, fully paid and nonassessable share of Class A Common Stock upon its sale or transfer of beneficial ownership to any person or entity; provided that none of the following shall constitute a “sale or transfer” for the purposes of this provision: (a) the pledge of shares of Class B Common Stock that creates a mere security interest in such shares pursuant to a bona fide loan or indebtedness transaction for so long as such stockholder continues to exercise control (within the meaning of the Securities Act of 1933, as amended (the “Securities Act”)) over such pledged shares, provided, however, that a foreclosure on such shares or other similar action by the pledgee shall constitute a transfer; (b) entering into a support, voting, tender or similar agreement, arrangement or understanding (with or without granting a proxy) in connection with a merger or</w:t>
      </w:r>
    </w:p>
    <w:p>
      <w:pPr>
        <w:sectPr>
          <w:pgSz w:w="11900" w:h="16838" w:orient="portrait"/>
          <w:cols w:equalWidth="0" w:num="1">
            <w:col w:w="11240"/>
          </w:cols>
          <w:pgMar w:left="320" w:top="1422" w:right="339" w:bottom="1440" w:gutter="0" w:footer="0" w:header="0"/>
        </w:sectPr>
      </w:pPr>
    </w:p>
    <w:bookmarkStart w:id="8" w:name="page9"/>
    <w:bookmarkEnd w:id="8"/>
    <w:p>
      <w:pPr>
        <w:jc w:val="both"/>
        <w:ind w:left="1480"/>
        <w:spacing w:after="0" w:line="259" w:lineRule="auto"/>
        <w:rPr>
          <w:sz w:val="20"/>
          <w:szCs w:val="20"/>
          <w:color w:val="auto"/>
        </w:rPr>
      </w:pPr>
      <w:r>
        <w:rPr>
          <w:rFonts w:ascii="Times New Roman" w:cs="Times New Roman" w:eastAsia="Times New Roman" w:hAnsi="Times New Roman"/>
          <w:sz w:val="21"/>
          <w:szCs w:val="21"/>
          <w:color w:val="auto"/>
        </w:rPr>
        <w:t>consolidation of the Corporation, or a sale of all or substantially all of the Corporation’s assets, provided that such merger or consolidation or sale of assets and such agreement or understanding was approved by the affirmative vote of a majority of the total number of directors then in office in advance of the entry into such agreement or understanding; (c) any proxy granted to any of the officers or directors of the Corporation at the request of the Board of Directors with respect to the voting of any of the Corporation’s capital stock in connection with actions to be taken at an annual or special meeting of stockholders; and (d) any transfer by a holder of Class B Common Stock (i) to a trust for the benefit of such holder or such holder’s immediate family, or to such holder’s Permitted Transferees (for purposes of this Restated Certificate, “Permitted Transferee” means, with respect to any holder of Class B Common Stock: (A) any member of such holder’s immediate family, which shall include any relationship by blood, current or former marriage, domestic partnership or adoption, not more remote than first cousin; (B) any trust for the direct or indirect benefit of such holder or any member of such holder’s immediate family; (C) any corporation, partnership, limited liability company or other entity of which such holder and/or members of such holder’s immediate family are the legal and beneficial owners of all of the outstanding equity securities or similar interests; and (D) any corporation, partnership, limited liability company or other entity controlled by, or under common control with, such holder), (ii) by gift or charitable contribution, or (iii) upon the death of such holder by will, intestacy or other operation of law, in each case, so long as such transferee agrees to be bound by the terms of this Restated Certificate.</w:t>
      </w:r>
    </w:p>
    <w:p>
      <w:pPr>
        <w:spacing w:after="0" w:line="192" w:lineRule="exact"/>
        <w:rPr>
          <w:sz w:val="20"/>
          <w:szCs w:val="20"/>
          <w:color w:val="auto"/>
        </w:rPr>
      </w:pPr>
    </w:p>
    <w:p>
      <w:pPr>
        <w:jc w:val="both"/>
        <w:ind w:left="1480" w:hanging="324"/>
        <w:spacing w:after="0" w:line="250" w:lineRule="auto"/>
        <w:tabs>
          <w:tab w:leader="none" w:pos="146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 Conversion of Class B Common Stock. Each</w:t>
      </w:r>
      <w:r>
        <w:rPr>
          <w:rFonts w:ascii="Times New Roman" w:cs="Times New Roman" w:eastAsia="Times New Roman" w:hAnsi="Times New Roman"/>
          <w:sz w:val="22"/>
          <w:szCs w:val="22"/>
          <w:color w:val="auto"/>
        </w:rPr>
        <w:t xml:space="preserve"> share of Class B Common Stock held by a Founder (as defined below) or any of such Founder’s Permitted Transferees shall automatically, without further action by the Corporation or any holder thereof, be converted into one (1) validly issued, fully paid and nonassessable share of Class A Common Stock upon the earliest to occur of any of the following events (each, a “Mandatory Conversion Event”):</w:t>
      </w:r>
    </w:p>
    <w:p>
      <w:pPr>
        <w:spacing w:after="0" w:line="194" w:lineRule="exact"/>
        <w:rPr>
          <w:rFonts w:ascii="Times New Roman" w:cs="Times New Roman" w:eastAsia="Times New Roman" w:hAnsi="Times New Roman"/>
          <w:sz w:val="22"/>
          <w:szCs w:val="22"/>
          <w:color w:val="auto"/>
        </w:rPr>
      </w:pPr>
    </w:p>
    <w:p>
      <w:pPr>
        <w:ind w:left="2120" w:right="120" w:hanging="316"/>
        <w:spacing w:after="0" w:line="257" w:lineRule="auto"/>
        <w:tabs>
          <w:tab w:leader="none" w:pos="2108"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seven (7) year anniversary of the effective date of the registration statement filed by the Corporation in connection with its initial public offering of shares of Class A Common Stock (the “Sunset Date”);</w:t>
      </w:r>
    </w:p>
    <w:p>
      <w:pPr>
        <w:spacing w:after="0" w:line="172" w:lineRule="exact"/>
        <w:rPr>
          <w:rFonts w:ascii="Times New Roman" w:cs="Times New Roman" w:eastAsia="Times New Roman" w:hAnsi="Times New Roman"/>
          <w:sz w:val="22"/>
          <w:szCs w:val="22"/>
          <w:color w:val="auto"/>
        </w:rPr>
      </w:pPr>
    </w:p>
    <w:p>
      <w:pPr>
        <w:ind w:left="2120" w:right="660" w:hanging="316"/>
        <w:spacing w:after="0" w:line="271" w:lineRule="auto"/>
        <w:tabs>
          <w:tab w:leader="none" w:pos="2114"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on which the Founders, together with their respective Permitted Transferees, collectively cease to hold</w:t>
      </w:r>
    </w:p>
    <w:p>
      <w:pPr>
        <w:sectPr>
          <w:pgSz w:w="11900" w:h="16838" w:orient="portrait"/>
          <w:cols w:equalWidth="0" w:num="1">
            <w:col w:w="10120"/>
          </w:cols>
          <w:pgMar w:left="1440" w:top="1422" w:right="339" w:bottom="1440" w:gutter="0" w:footer="0" w:header="0"/>
        </w:sectPr>
      </w:pPr>
    </w:p>
    <w:bookmarkStart w:id="9" w:name="page10"/>
    <w:bookmarkEnd w:id="9"/>
    <w:p>
      <w:pPr>
        <w:ind w:left="2120" w:right="260"/>
        <w:spacing w:after="0" w:line="256" w:lineRule="auto"/>
        <w:rPr>
          <w:sz w:val="20"/>
          <w:szCs w:val="20"/>
          <w:color w:val="auto"/>
        </w:rPr>
      </w:pPr>
      <w:r>
        <w:rPr>
          <w:rFonts w:ascii="Times New Roman" w:cs="Times New Roman" w:eastAsia="Times New Roman" w:hAnsi="Times New Roman"/>
          <w:sz w:val="22"/>
          <w:szCs w:val="22"/>
          <w:color w:val="auto"/>
        </w:rPr>
        <w:t>at least twenty-five percent (25%) of the aggregate number of shares of Class B Common Stock held by the Founders and their respective Permitted Transferees as of the effective date of the registration statement filed by the Corporation in connection with its initial public offering of shares of Class A Common Stock;</w:t>
      </w:r>
    </w:p>
    <w:p>
      <w:pPr>
        <w:spacing w:after="0" w:line="176" w:lineRule="exact"/>
        <w:rPr>
          <w:sz w:val="20"/>
          <w:szCs w:val="20"/>
          <w:color w:val="auto"/>
        </w:rPr>
      </w:pPr>
    </w:p>
    <w:p>
      <w:pPr>
        <w:ind w:left="2120" w:right="420" w:hanging="323"/>
        <w:spacing w:after="0" w:line="271" w:lineRule="auto"/>
        <w:rPr>
          <w:sz w:val="20"/>
          <w:szCs w:val="20"/>
          <w:color w:val="auto"/>
        </w:rPr>
      </w:pPr>
      <w:r>
        <w:rPr>
          <w:rFonts w:ascii="Times New Roman" w:cs="Times New Roman" w:eastAsia="Times New Roman" w:hAnsi="Times New Roman"/>
          <w:sz w:val="22"/>
          <w:szCs w:val="22"/>
          <w:color w:val="auto"/>
        </w:rPr>
        <w:t>(iii)with respect to a particular Founder and such Founder’s Permitted Transferees only, the death or Disability (as defined below) of such Founder;</w:t>
      </w:r>
    </w:p>
    <w:p>
      <w:pPr>
        <w:spacing w:after="0" w:line="158" w:lineRule="exact"/>
        <w:rPr>
          <w:sz w:val="20"/>
          <w:szCs w:val="20"/>
          <w:color w:val="auto"/>
        </w:rPr>
      </w:pPr>
    </w:p>
    <w:p>
      <w:pPr>
        <w:ind w:left="2120" w:right="180" w:hanging="323"/>
        <w:spacing w:after="0" w:line="263" w:lineRule="auto"/>
        <w:rPr>
          <w:sz w:val="20"/>
          <w:szCs w:val="20"/>
          <w:color w:val="auto"/>
        </w:rPr>
      </w:pPr>
      <w:r>
        <w:rPr>
          <w:rFonts w:ascii="Times New Roman" w:cs="Times New Roman" w:eastAsia="Times New Roman" w:hAnsi="Times New Roman"/>
          <w:sz w:val="22"/>
          <w:szCs w:val="22"/>
          <w:color w:val="auto"/>
        </w:rPr>
        <w:t>(iv)with respect to a particular Founder and such Founder’s Permitted Transferees only, the termination of such Founder’s employment with or service to the Corporation or any of its subsidiaries by the Corporation or such subsidiary for Cause (as defined below);</w:t>
      </w:r>
    </w:p>
    <w:p>
      <w:pPr>
        <w:spacing w:after="0" w:line="167" w:lineRule="exact"/>
        <w:rPr>
          <w:sz w:val="20"/>
          <w:szCs w:val="20"/>
          <w:color w:val="auto"/>
        </w:rPr>
      </w:pPr>
    </w:p>
    <w:p>
      <w:pPr>
        <w:ind w:left="2120" w:hanging="316"/>
        <w:spacing w:after="0"/>
        <w:tabs>
          <w:tab w:leader="none" w:pos="2120" w:val="left"/>
        </w:tabs>
        <w:numPr>
          <w:ilvl w:val="1"/>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event specified in a written agreement between the Corporation and any Founder.</w:t>
      </w:r>
    </w:p>
    <w:p>
      <w:pPr>
        <w:spacing w:after="0" w:line="231" w:lineRule="exact"/>
        <w:rPr>
          <w:rFonts w:ascii="Times New Roman" w:cs="Times New Roman" w:eastAsia="Times New Roman" w:hAnsi="Times New Roman"/>
          <w:sz w:val="21"/>
          <w:szCs w:val="21"/>
          <w:color w:val="auto"/>
        </w:rPr>
      </w:pPr>
    </w:p>
    <w:p>
      <w:pPr>
        <w:ind w:left="1480" w:hanging="324"/>
        <w:spacing w:after="0"/>
        <w:tabs>
          <w:tab w:leader="none" w:pos="14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2120" w:hanging="316"/>
        <w:spacing w:after="0" w:line="248" w:lineRule="auto"/>
        <w:tabs>
          <w:tab w:leader="none" w:pos="2108"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means, with respect to a Founder, (A) the meaning set forth in any written employment or service agreement between such Founder and the Corporation or any of its subsidiaries, or (B) if there is no such agreement or no such definition, (i) such Founder’s commission of, indictment for, conviction of, or plea of guilty or nolo contendere to, a felony or a crime involving moral turpitude, (ii) such Founder’s willful misconduct or gross negligence in connection with such Founder’s duties to the Corporation or any of its subsidiaries, (iii) such Founder’s material breach of any fiduciary duty owed to the Corporation or any of its subsidiaries, (iv) such Founder’s material breach of any written policy of the Corporation applicable to such Founder, or (v) such Founder’s material breach of any written employment or service agreement with the Corporation or any of its subsidiaries.</w:t>
      </w:r>
    </w:p>
    <w:p>
      <w:pPr>
        <w:spacing w:after="0" w:line="188" w:lineRule="exact"/>
        <w:rPr>
          <w:rFonts w:ascii="Times New Roman" w:cs="Times New Roman" w:eastAsia="Times New Roman" w:hAnsi="Times New Roman"/>
          <w:sz w:val="22"/>
          <w:szCs w:val="22"/>
          <w:color w:val="auto"/>
        </w:rPr>
      </w:pPr>
    </w:p>
    <w:p>
      <w:pPr>
        <w:jc w:val="both"/>
        <w:ind w:left="2120" w:hanging="316"/>
        <w:spacing w:after="0" w:line="253" w:lineRule="auto"/>
        <w:tabs>
          <w:tab w:leader="none" w:pos="2114"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 means, with respect to a Founder, (A) the meaning set forth in any written employment or service agreement between such Founder and the Corporation or any of its subsidiaries, or (B) if there is no such agreement or no such definition, such Founder’s inability to perform the essential functions of such Founder’s position with the Corporation or any of its subsidiaries, with or without</w:t>
      </w:r>
    </w:p>
    <w:p>
      <w:pPr>
        <w:sectPr>
          <w:pgSz w:w="11900" w:h="16838" w:orient="portrait"/>
          <w:cols w:equalWidth="0" w:num="1">
            <w:col w:w="10120"/>
          </w:cols>
          <w:pgMar w:left="1440" w:top="1422" w:right="339" w:bottom="1440" w:gutter="0" w:footer="0" w:header="0"/>
        </w:sectPr>
      </w:pPr>
    </w:p>
    <w:bookmarkStart w:id="10" w:name="page11"/>
    <w:bookmarkEnd w:id="10"/>
    <w:p>
      <w:pPr>
        <w:jc w:val="both"/>
        <w:ind w:left="2120"/>
        <w:spacing w:after="0" w:line="257" w:lineRule="auto"/>
        <w:rPr>
          <w:sz w:val="20"/>
          <w:szCs w:val="20"/>
          <w:color w:val="auto"/>
        </w:rPr>
      </w:pPr>
      <w:r>
        <w:rPr>
          <w:rFonts w:ascii="Times New Roman" w:cs="Times New Roman" w:eastAsia="Times New Roman" w:hAnsi="Times New Roman"/>
          <w:sz w:val="22"/>
          <w:szCs w:val="22"/>
          <w:color w:val="auto"/>
        </w:rPr>
        <w:t>reasonable accommodation, for a period of one hundred eighty (180) consecutive days or for a total of one hundred eighty (180) days in any twelve (12) month period, due to a physical or mental impairment.</w:t>
      </w:r>
    </w:p>
    <w:p>
      <w:pPr>
        <w:spacing w:after="0" w:line="18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(iii)“Founder” means each of Timothy Latimer and Jack Norbeck.</w:t>
      </w:r>
    </w:p>
    <w:p>
      <w:pPr>
        <w:spacing w:after="0" w:line="220" w:lineRule="exact"/>
        <w:rPr>
          <w:sz w:val="20"/>
          <w:szCs w:val="20"/>
          <w:color w:val="auto"/>
        </w:rPr>
      </w:pPr>
    </w:p>
    <w:p>
      <w:pPr>
        <w:jc w:val="both"/>
        <w:ind w:left="1480" w:hanging="324"/>
        <w:spacing w:after="0" w:line="258" w:lineRule="auto"/>
        <w:tabs>
          <w:tab w:leader="none" w:pos="146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Mechanics of Conversion</w:t>
      </w:r>
      <w:r>
        <w:rPr>
          <w:rFonts w:ascii="Times New Roman" w:cs="Times New Roman" w:eastAsia="Times New Roman" w:hAnsi="Times New Roman"/>
          <w:sz w:val="21"/>
          <w:szCs w:val="21"/>
          <w:color w:val="auto"/>
        </w:rPr>
        <w:t>. In the event of an optional conversion pursuant to Section 4(a), before any holder of Class B Common Stock shall be entitled voluntarily to convert the same into shares of Class A Common Stock, such holder shall surrender the certificate or certificates therefor, duly endorsed, at the office of the Corporation or of any transfer agent for such stock, and shall give written notice to the Corporation at such office that such holder elects to convert the same and shall state therein the name or names in which such holder wishes the certificate or certificates for shares of Class A Common Stock to be issued. The Corporation shall, as soon as practicable thereafter, issue and deliver at such office to such holder, or to the nominee or nominees of such holder, a certificate or certificates for the number of shares of Class A Common Stock to which such holder shall be entitled as aforesaid. Such optional conversion shall be deemed to have been made immediately prior to the close of business on the date of surrender of the shares of Class B Common Stock to be converted, and the person or persons entitled to receive the shares of Class A Common Stock issuable upon such conversion shall be treated for all purposes as the record holder or holders of such shares of Class A Common Stock on such date. If the conversion is in connection with the automatic conversion provisions set forth in Section 4(b) or Section 4(c), such conversion shall be deemed to have been made (i) in the case of Section 4(c)(i), on the Sunset Date,</w:t>
      </w:r>
    </w:p>
    <w:p>
      <w:pPr>
        <w:spacing w:after="0" w:line="15" w:lineRule="exact"/>
        <w:rPr>
          <w:rFonts w:ascii="Times New Roman" w:cs="Times New Roman" w:eastAsia="Times New Roman" w:hAnsi="Times New Roman"/>
          <w:sz w:val="21"/>
          <w:szCs w:val="21"/>
          <w:color w:val="auto"/>
        </w:rPr>
      </w:pPr>
    </w:p>
    <w:p>
      <w:pPr>
        <w:jc w:val="both"/>
        <w:ind w:left="1480"/>
        <w:spacing w:after="0" w:line="258" w:lineRule="auto"/>
        <w:tabs>
          <w:tab w:leader="none" w:pos="1836"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Section 4(c)(ii), on the date the applicable ownership threshold is no longer satisfied, (iii) in the case of Section 4(c)(iii) or (iv), on the date of the applicable Mandatory Conversion Event, (iv) in the case of Section 4(c)(v), on the date specified in the applicable agreement, or (v) in the case of Section 4(b), on the applicable date of transfer or sale, the persons entitled to receive shares of Class A Common Stock issuable upon such conversion shall be treated for all purposes as the record holders of such shares of Class A Common Stock as of the applicable date, and, until presented for transfer, certificates previously evidencing shares of Class B Common Stock shall represent the number of shares of Class A Common Stock into which such shares were automatically converted. Shares of Class B Common Stock converted pursuant to</w:t>
      </w:r>
    </w:p>
    <w:p>
      <w:pPr>
        <w:sectPr>
          <w:pgSz w:w="11900" w:h="16838" w:orient="portrait"/>
          <w:cols w:equalWidth="0" w:num="1">
            <w:col w:w="10120"/>
          </w:cols>
          <w:pgMar w:left="1440" w:top="1422" w:right="339" w:bottom="1440" w:gutter="0" w:footer="0" w:header="0"/>
        </w:sectPr>
      </w:pPr>
    </w:p>
    <w:bookmarkStart w:id="11" w:name="page12"/>
    <w:bookmarkEnd w:id="11"/>
    <w:p>
      <w:pPr>
        <w:jc w:val="both"/>
        <w:ind w:left="1480"/>
        <w:spacing w:after="0" w:line="256" w:lineRule="auto"/>
        <w:rPr>
          <w:sz w:val="20"/>
          <w:szCs w:val="20"/>
          <w:color w:val="auto"/>
        </w:rPr>
      </w:pPr>
      <w:r>
        <w:rPr>
          <w:rFonts w:ascii="Times New Roman" w:cs="Times New Roman" w:eastAsia="Times New Roman" w:hAnsi="Times New Roman"/>
          <w:sz w:val="22"/>
          <w:szCs w:val="22"/>
          <w:color w:val="auto"/>
        </w:rPr>
        <w:t>Section 4(a), Section 4(b), Section 4(c) or Section 4(d) shall be automatically retired and cancelled and may not be reissued, and the Corporation may thereafter take such appropriate action (without the need for stockholder action) as may be necessary to reduce the authorized number of shares of Class B Common Stock accordingly.</w:t>
      </w:r>
    </w:p>
    <w:p>
      <w:pPr>
        <w:spacing w:after="0" w:line="176" w:lineRule="exact"/>
        <w:rPr>
          <w:sz w:val="20"/>
          <w:szCs w:val="20"/>
          <w:color w:val="auto"/>
        </w:rPr>
      </w:pPr>
    </w:p>
    <w:p>
      <w:pPr>
        <w:jc w:val="both"/>
        <w:ind w:left="1480" w:hanging="324"/>
        <w:spacing w:after="0" w:line="247" w:lineRule="auto"/>
        <w:tabs>
          <w:tab w:leader="none" w:pos="1471"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Policies</w:t>
      </w:r>
      <w:r>
        <w:rPr>
          <w:rFonts w:ascii="Times New Roman" w:cs="Times New Roman" w:eastAsia="Times New Roman" w:hAnsi="Times New Roman"/>
          <w:sz w:val="22"/>
          <w:szCs w:val="22"/>
          <w:color w:val="auto"/>
        </w:rPr>
        <w:t>. The Corporation may, from time to time, establish such policies and procedures, not in violation of applicable law or the other provisions of this Restated Certificate or Bylaws, relating to the conversion of the Class B Common Stock into Class A Common Stock, as it may deem necessary or advisable in connection therewith, If the Corporation has reason to believe that any circumstance giving rise to a conversion of shares of Class B Common Stock into Class A Common Stock has occurred but has not theretofore been reflected on the books of the Corporation (or in book-entry form as maintained by the transfer agent of the Corporation), the Corporation may request that the holder of such shares furnish affidavits or other evidence to the Corporation as the Corporation deems necessary to determine whether a conversion of shares of Class B Common Stock to Class A Common Stock has occurred, and if such holder does not within five (5) days after the date of such request furnish sufficient evidence to the Corporation (in the manner provided in the request) to enable the Corporation to determine that no such conversion has occurred, any such shares of Class B Common Stock, to the extent not previously converted, shall be automatically converted into shares of Class A Common Stock and the same shall thereupon be registered on the books and records of the Corporation (or in book-entry as maintained by the transfer agent of the Corporation).</w:t>
      </w:r>
    </w:p>
    <w:p>
      <w:pPr>
        <w:spacing w:after="0" w:line="194" w:lineRule="exact"/>
        <w:rPr>
          <w:rFonts w:ascii="Times New Roman" w:cs="Times New Roman" w:eastAsia="Times New Roman" w:hAnsi="Times New Roman"/>
          <w:sz w:val="22"/>
          <w:szCs w:val="22"/>
          <w:color w:val="auto"/>
        </w:rPr>
      </w:pPr>
    </w:p>
    <w:p>
      <w:pPr>
        <w:jc w:val="both"/>
        <w:ind w:left="-1120" w:firstLine="1304"/>
        <w:spacing w:after="0" w:line="252" w:lineRule="auto"/>
        <w:tabs>
          <w:tab w:leader="none" w:pos="82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Reservation of Stock</w:t>
      </w:r>
      <w:r>
        <w:rPr>
          <w:rFonts w:ascii="Times New Roman" w:cs="Times New Roman" w:eastAsia="Times New Roman" w:hAnsi="Times New Roman"/>
          <w:sz w:val="22"/>
          <w:szCs w:val="22"/>
          <w:color w:val="auto"/>
        </w:rPr>
        <w:t>. The Corporation shall at all times reserve and keep available out of its authorized but unissued shares of Class A Common Stock, solely for the purpose of effecting the conversion of the shares of Class B Common Stock, such number of shares of Class A Common Stock as shall from time to time be sufficient to effect the conversion of all outstanding shares of Class B Common Stock into shares of Class A Common Stock.</w:t>
      </w:r>
    </w:p>
    <w:p>
      <w:pPr>
        <w:spacing w:after="0" w:line="192" w:lineRule="exact"/>
        <w:rPr>
          <w:rFonts w:ascii="Times New Roman" w:cs="Times New Roman" w:eastAsia="Times New Roman" w:hAnsi="Times New Roman"/>
          <w:sz w:val="22"/>
          <w:szCs w:val="22"/>
          <w:color w:val="auto"/>
        </w:rPr>
      </w:pPr>
    </w:p>
    <w:p>
      <w:pPr>
        <w:jc w:val="both"/>
        <w:ind w:left="-1120" w:firstLine="1304"/>
        <w:spacing w:after="0" w:line="263" w:lineRule="auto"/>
        <w:tabs>
          <w:tab w:leader="none" w:pos="824"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Merger, Consolidation, Conversion, Domestication, Transfer or Continuance</w:t>
      </w:r>
      <w:r>
        <w:rPr>
          <w:rFonts w:ascii="Times New Roman" w:cs="Times New Roman" w:eastAsia="Times New Roman" w:hAnsi="Times New Roman"/>
          <w:sz w:val="21"/>
          <w:szCs w:val="21"/>
          <w:color w:val="auto"/>
        </w:rPr>
        <w:t>. In the case of any consolidation or merger of the Corporation with or into any other entity or any conversion, domestication, transfer or continuance of the Corporation, the holders of shares of Class A Common Stock or Class B Common Stock shall be treated identically and ratably on a per share basis with respect to any consideration into which such shares are converted or any such consideration paid or otherwise distributed to the stockholders unless (i) such distribution, payment or consideration consists, in whole or in part, of shares of capital stock or other equity interests (“</w:t>
      </w:r>
      <w:r>
        <w:rPr>
          <w:rFonts w:ascii="Times New Roman" w:cs="Times New Roman" w:eastAsia="Times New Roman" w:hAnsi="Times New Roman"/>
          <w:sz w:val="21"/>
          <w:szCs w:val="21"/>
          <w:u w:val="single" w:color="auto"/>
          <w:color w:val="auto"/>
        </w:rPr>
        <w:t>Equity Consideration</w:t>
      </w:r>
      <w:r>
        <w:rPr>
          <w:rFonts w:ascii="Times New Roman" w:cs="Times New Roman" w:eastAsia="Times New Roman" w:hAnsi="Times New Roman"/>
          <w:sz w:val="21"/>
          <w:szCs w:val="21"/>
          <w:color w:val="auto"/>
        </w:rPr>
        <w:t>”), in which case, the holders of shares of</w:t>
      </w:r>
    </w:p>
    <w:p>
      <w:pPr>
        <w:sectPr>
          <w:pgSz w:w="11900" w:h="16838" w:orient="portrait"/>
          <w:cols w:equalWidth="0" w:num="1">
            <w:col w:w="10120"/>
          </w:cols>
          <w:pgMar w:left="1440" w:top="1422" w:right="339" w:bottom="1440" w:gutter="0" w:footer="0" w:header="0"/>
        </w:sectPr>
      </w:pPr>
    </w:p>
    <w:bookmarkStart w:id="12" w:name="page13"/>
    <w:bookmarkEnd w:id="12"/>
    <w:p>
      <w:pPr>
        <w:jc w:val="both"/>
        <w:spacing w:after="0" w:line="249" w:lineRule="auto"/>
        <w:rPr>
          <w:sz w:val="20"/>
          <w:szCs w:val="20"/>
          <w:color w:val="auto"/>
        </w:rPr>
      </w:pPr>
      <w:r>
        <w:rPr>
          <w:rFonts w:ascii="Times New Roman" w:cs="Times New Roman" w:eastAsia="Times New Roman" w:hAnsi="Times New Roman"/>
          <w:sz w:val="22"/>
          <w:szCs w:val="22"/>
          <w:color w:val="auto"/>
        </w:rPr>
        <w:t>Class A Common Stock or Class B Common Stock may receive, or have the right to elect to receive, different or disproportionate Equity Consideration in connection with such consolidation, merger, conversion, domestication, transfer or continuance or other similar transaction only if and solely to the extent that the difference in the per share Equity Consideration to the holders of the Class A Common Stock and Class B Common Stock is with respect to the voting power of such securities, with each share of Equity Consideration distributed to holders of Class B Common Stock (or issuable upon conversion of shares of Class B Common Stock) having forty (40) times the voting power of each share of Equity Consideration distributed to the holders of Class A Common Stock (or issuable upon conversion of shares of Class A Common Stock) in connection with such consolidation, merger or other transaction or (ii) any different or disproportionate treatment is approved by the affirmative vote of the holders of a majority of the outstanding shares of Class A Common Stock and Class B Common Stock, each voting separately as a class.</w:t>
      </w:r>
    </w:p>
    <w:p>
      <w:pPr>
        <w:spacing w:after="0" w:line="183" w:lineRule="exact"/>
        <w:rPr>
          <w:sz w:val="20"/>
          <w:szCs w:val="20"/>
          <w:color w:val="auto"/>
        </w:rPr>
      </w:pPr>
    </w:p>
    <w:p>
      <w:pPr>
        <w:jc w:val="both"/>
        <w:ind w:firstLine="1304"/>
        <w:spacing w:after="0" w:line="250" w:lineRule="auto"/>
        <w:tabs>
          <w:tab w:leader="none" w:pos="1944" w:val="left"/>
        </w:tabs>
        <w:numPr>
          <w:ilvl w:val="2"/>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Subdivisions, Combinations or Reclassifications</w:t>
      </w:r>
      <w:r>
        <w:rPr>
          <w:rFonts w:ascii="Times New Roman" w:cs="Times New Roman" w:eastAsia="Times New Roman" w:hAnsi="Times New Roman"/>
          <w:sz w:val="22"/>
          <w:szCs w:val="22"/>
          <w:color w:val="auto"/>
        </w:rPr>
        <w:t>. Shares of Class A Common Stock or Class B Common Stock may not be subdivided, combined or reclassified unless the shares of such other class are concurrently therewith proportionately subdivided, combined or reclassified in a manner that maintains the same proportionate equity ownership among the holders of the outstanding Class A Common Stock and Class B Common Stock on the record date for such subdivision, combination or reclassification; provided, however, that shares of one such class may be treated differently if such treatment is approved by the affirmative vote of the holders of a majority of the outstanding shares of Class A Common Stock and Class B Common Stock, each voting separately as a class.</w:t>
      </w:r>
    </w:p>
    <w:p>
      <w:pPr>
        <w:spacing w:after="0" w:line="180"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44" w:val="left"/>
        </w:tabs>
        <w:numPr>
          <w:ilvl w:val="2"/>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Liquidation</w:t>
      </w:r>
      <w:r>
        <w:rPr>
          <w:rFonts w:ascii="Times New Roman" w:cs="Times New Roman" w:eastAsia="Times New Roman" w:hAnsi="Times New Roman"/>
          <w:sz w:val="22"/>
          <w:szCs w:val="22"/>
          <w:color w:val="auto"/>
        </w:rPr>
        <w:t xml:space="preserve">. Subject to the rights and preferences of any holders of any shares of any outstanding series of Preferred Stock, in the event of any liquidation, dissolution or winding up of the Corporation, whether voluntary or involuntary, the funds and assets of the Corporation that may be legally distributed to the Corporation’s stockholders shall be distributed among the holders of the then outstanding Common Stock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in accordance with the number of shares of Common Stock held by each such holder.</w:t>
      </w:r>
    </w:p>
    <w:p>
      <w:pPr>
        <w:spacing w:after="0" w:line="178" w:lineRule="exact"/>
        <w:rPr>
          <w:rFonts w:ascii="Times New Roman" w:cs="Times New Roman" w:eastAsia="Times New Roman" w:hAnsi="Times New Roman"/>
          <w:sz w:val="22"/>
          <w:szCs w:val="22"/>
          <w:color w:val="auto"/>
        </w:rPr>
      </w:pPr>
    </w:p>
    <w:p>
      <w:pPr>
        <w:ind w:left="900" w:hanging="244"/>
        <w:spacing w:after="0"/>
        <w:tabs>
          <w:tab w:leader="none" w:pos="9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PREFERRED STOCK</w:t>
      </w:r>
    </w:p>
    <w:p>
      <w:pPr>
        <w:spacing w:after="0" w:line="219" w:lineRule="exact"/>
        <w:rPr>
          <w:rFonts w:ascii="Times New Roman" w:cs="Times New Roman" w:eastAsia="Times New Roman" w:hAnsi="Times New Roman"/>
          <w:sz w:val="22"/>
          <w:szCs w:val="22"/>
          <w:color w:val="auto"/>
        </w:rPr>
      </w:pPr>
    </w:p>
    <w:p>
      <w:pPr>
        <w:jc w:val="both"/>
        <w:ind w:left="1300" w:hanging="320"/>
        <w:spacing w:after="0" w:line="263" w:lineRule="auto"/>
        <w:tabs>
          <w:tab w:leader="none" w:pos="130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Shares of Preferred Stock may be issued from time to time in one or more series, each of such series to have such terms as stated or expressed herein and in the resolution or resolutions providing for the creation and issuance of such series adopted by the Board of Directors as hereinafter provided.</w:t>
      </w:r>
    </w:p>
    <w:p>
      <w:pPr>
        <w:spacing w:after="0" w:line="167" w:lineRule="exact"/>
        <w:rPr>
          <w:rFonts w:ascii="Times New Roman" w:cs="Times New Roman" w:eastAsia="Times New Roman" w:hAnsi="Times New Roman"/>
          <w:sz w:val="22"/>
          <w:szCs w:val="22"/>
          <w:color w:val="auto"/>
        </w:rPr>
      </w:pPr>
    </w:p>
    <w:p>
      <w:pPr>
        <w:ind w:left="1300" w:right="40" w:hanging="320"/>
        <w:spacing w:after="0" w:line="251" w:lineRule="auto"/>
        <w:tabs>
          <w:tab w:leader="none" w:pos="130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Designation and Amount</w:t>
      </w:r>
      <w:r>
        <w:rPr>
          <w:rFonts w:ascii="Times New Roman" w:cs="Times New Roman" w:eastAsia="Times New Roman" w:hAnsi="Times New Roman"/>
          <w:sz w:val="22"/>
          <w:szCs w:val="22"/>
          <w:color w:val="auto"/>
        </w:rPr>
        <w:t>. 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 relating thereto in accordance with the DGCL (a “</w:t>
      </w:r>
      <w:r>
        <w:rPr>
          <w:rFonts w:ascii="Times New Roman" w:cs="Times New Roman" w:eastAsia="Times New Roman" w:hAnsi="Times New Roman"/>
          <w:sz w:val="22"/>
          <w:szCs w:val="22"/>
          <w:u w:val="single" w:color="auto"/>
          <w:color w:val="auto"/>
        </w:rPr>
        <w:t>Certificate of Designation</w:t>
      </w:r>
      <w:r>
        <w:rPr>
          <w:rFonts w:ascii="Times New Roman" w:cs="Times New Roman" w:eastAsia="Times New Roman" w:hAnsi="Times New Roman"/>
          <w:sz w:val="22"/>
          <w:szCs w:val="22"/>
          <w:color w:val="auto"/>
        </w:rPr>
        <w:t>”), to determine and fix the number of shares of such series and such voting powers, full or limited, or no voting powers, and such designations, preferences and relative participating, optional or other special</w:t>
      </w:r>
    </w:p>
    <w:p>
      <w:pPr>
        <w:sectPr>
          <w:pgSz w:w="11900" w:h="16838" w:orient="portrait"/>
          <w:cols w:equalWidth="0" w:num="1">
            <w:col w:w="11240"/>
          </w:cols>
          <w:pgMar w:left="320" w:top="1422" w:right="339" w:bottom="1440" w:gutter="0" w:footer="0" w:header="0"/>
        </w:sectPr>
      </w:pPr>
    </w:p>
    <w:bookmarkStart w:id="13" w:name="page14"/>
    <w:bookmarkEnd w:id="13"/>
    <w:p>
      <w:pPr>
        <w:ind w:left="1300" w:right="60"/>
        <w:spacing w:after="0" w:line="249" w:lineRule="auto"/>
        <w:rPr>
          <w:sz w:val="20"/>
          <w:szCs w:val="20"/>
          <w:color w:val="auto"/>
        </w:rPr>
      </w:pPr>
      <w:r>
        <w:rPr>
          <w:rFonts w:ascii="Times New Roman" w:cs="Times New Roman" w:eastAsia="Times New Roman" w:hAnsi="Times New Roman"/>
          <w:sz w:val="22"/>
          <w:szCs w:val="22"/>
          <w:color w:val="auto"/>
        </w:rPr>
        <w:t>rights, and qualifications, limitations or restrictions thereof, including without limitation thereof, dividend rights, conversion rights, redemption privileges and liquidation preferences, and to increase or decrease (but not below the number of shares of such series then outstanding) the number of shares of any series as shall be stated and expressed in such resolutions, all to the fullest extent now or hereafter permitted by the DGCL. Without limiting the generality of the foregoing, the resolution or resolutions providing for the creation and issuance of any series of Preferred Stock may provide that such series shall be superior or rank equally or be junior to any other series of Preferred Stock to the extent permitted by law and this Restated Certificate (including any Certificate of Designation), Except as otherwise required by law, holders of any series of Preferred Stock shall be entitled only to such voting rights, if any, as shall expressly be granted thereto by this Restated Certificate (including any Certificate of Designation).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For the management of the business and for the conduct of the affairs of the Corporation it is further provided that:</w:t>
      </w:r>
    </w:p>
    <w:p>
      <w:pPr>
        <w:spacing w:after="0" w:line="220" w:lineRule="exact"/>
        <w:rPr>
          <w:sz w:val="20"/>
          <w:szCs w:val="20"/>
          <w:color w:val="auto"/>
        </w:rPr>
      </w:pPr>
    </w:p>
    <w:p>
      <w:pPr>
        <w:jc w:val="both"/>
        <w:ind w:firstLine="656"/>
        <w:spacing w:after="0" w:line="260" w:lineRule="auto"/>
        <w:tabs>
          <w:tab w:leader="none" w:pos="129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special rights of the holders of one or more outstanding series of Preferred Stock to elect directors, the directors of the Corporation shall be classified with respect to the time for which they severally hold office into three classes, designated as Class I, Class II and Class III, The initial Class I directors shall serve for a term expiring at the first annual meeting of stockholders following the initial registration of the Corporation’s Common Stock pursuant to the Securities Exchange Act of 1934, as amended; the initial Class II directors shall serve for a term expiring at the second annual meeting of stockholders following such registration; and the initial Class III directors shall serve for a term expiring at the third annual meeting of stockholders following such registration. Each class shall consist, as nearly as possible, of one-third of the total number of such directors, At each annual meeting of stockholders of the Corporation beginning with the first annual meeting of stockholders following the Effective Time (for purposes of this Restated Certificate, “Effective Time” means the time at which this Restated Certificate is filed with the Secretary of State of the State of Delaware in connection with the closing of the Corporation’s initial public offering of shares of Class A Common Stock), subject to any special rights of the holders of one or more outstanding series of Preferred Stock to elect directors, the successors of the class of directors whose term expires at that meeting shall be elected to hold office for a term expiring at the annual meeting of stockholders held in the third year following the year of their election. Each director shall hold office until their successor is duly elected and qualified or until their earlier death, resignation, disqualification or removal. No decrease in the number of directors shall shorten the term of any incumbent director. The Board of Directors is authorized to designate members of the Board of Directors already in office as Class I, Class II and Class III.</w:t>
      </w:r>
    </w:p>
    <w:p>
      <w:pPr>
        <w:sectPr>
          <w:pgSz w:w="11900" w:h="16838" w:orient="portrait"/>
          <w:cols w:equalWidth="0" w:num="1">
            <w:col w:w="11240"/>
          </w:cols>
          <w:pgMar w:left="320" w:top="1422" w:right="339" w:bottom="1440" w:gutter="0" w:footer="0" w:header="0"/>
        </w:sectPr>
      </w:pPr>
    </w:p>
    <w:bookmarkStart w:id="14" w:name="page15"/>
    <w:bookmarkEnd w:id="14"/>
    <w:p>
      <w:pPr>
        <w:ind w:left="-656" w:firstLine="656"/>
        <w:spacing w:after="0" w:line="271" w:lineRule="auto"/>
        <w:tabs>
          <w:tab w:leader="none" w:pos="63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provided by the DGCL or this Restated Certificate, the business and affairs of the Corporation shall be managed by or under the direction of the Board of Directors.</w:t>
      </w:r>
    </w:p>
    <w:p>
      <w:pPr>
        <w:spacing w:after="0" w:line="157" w:lineRule="exact"/>
        <w:rPr>
          <w:rFonts w:ascii="Times New Roman" w:cs="Times New Roman" w:eastAsia="Times New Roman" w:hAnsi="Times New Roman"/>
          <w:sz w:val="22"/>
          <w:szCs w:val="22"/>
          <w:color w:val="auto"/>
        </w:rPr>
      </w:pPr>
    </w:p>
    <w:p>
      <w:pPr>
        <w:jc w:val="both"/>
        <w:ind w:left="-656" w:firstLine="656"/>
        <w:spacing w:after="0" w:line="256" w:lineRule="auto"/>
        <w:tabs>
          <w:tab w:leader="none" w:pos="63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special rights of the holders of one or more outstanding series of Preferred Stock to elect directors, the Board of Directors or any individual director may be removed from office at any time, but only for cause and only by the affirmative vote of the holders of at least two-thirds of the voting power of all of the then outstanding shares of voting stock of the Corporation entitled to vote at an election of directors.</w:t>
      </w:r>
    </w:p>
    <w:p>
      <w:pPr>
        <w:spacing w:after="0" w:line="176" w:lineRule="exact"/>
        <w:rPr>
          <w:rFonts w:ascii="Times New Roman" w:cs="Times New Roman" w:eastAsia="Times New Roman" w:hAnsi="Times New Roman"/>
          <w:sz w:val="22"/>
          <w:szCs w:val="22"/>
          <w:color w:val="auto"/>
        </w:rPr>
      </w:pPr>
    </w:p>
    <w:p>
      <w:pPr>
        <w:jc w:val="both"/>
        <w:ind w:left="-656" w:firstLine="656"/>
        <w:spacing w:after="0" w:line="249" w:lineRule="auto"/>
        <w:tabs>
          <w:tab w:leader="none" w:pos="63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special rights of the holders of one or more outstanding series of Preferred Stock to elect directors, except as otherwise provided by law, any vacancies on the Board of Directors resulting from death, resignation, disqualification, retirement, removal or other causes and any newly created directorships resulting from any increase in the number of directors shall be filled exclusively by the affirmative vote of a majority of the directors then in office, even though less than a quorum, or by a sole remaining director (other than any directors elected by the separate vote of one or more outstanding series of Preferred Stock), and shall not be filled by the stockholders. Any director appointed in accordance with the preceding sentence shall hold office until the expiration of the term of the class to which such director shall have been appointed or until their earlier death, resignation, retirement, disqualification or removal.</w:t>
      </w:r>
    </w:p>
    <w:p>
      <w:pPr>
        <w:spacing w:after="0" w:line="195" w:lineRule="exact"/>
        <w:rPr>
          <w:rFonts w:ascii="Times New Roman" w:cs="Times New Roman" w:eastAsia="Times New Roman" w:hAnsi="Times New Roman"/>
          <w:sz w:val="22"/>
          <w:szCs w:val="22"/>
          <w:color w:val="auto"/>
        </w:rPr>
      </w:pPr>
    </w:p>
    <w:p>
      <w:pPr>
        <w:jc w:val="both"/>
        <w:ind w:left="-656" w:firstLine="656"/>
        <w:spacing w:after="0" w:line="247" w:lineRule="auto"/>
        <w:tabs>
          <w:tab w:leader="none" w:pos="637"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Restated Certificate (including any Certificate of Designation), Notwithstanding anything to the contrary in this Article VI, the number of directors that may be elected by the holders of any such series of Preferred Stock shall be in addition to the number fixed pursuant to paragraph B of this Article VI, and the total number of directors constituting the whole Board of Directors shall be automatically adjusted accordingly, Except as otherwise provided in the Certificate of Designation(s) in respect of one or more series of Preferred Stock, whenever the holders of any series of Preferred Stock having such right to elect additional directors are divested of such right pursuant to the provisions of such Certificate of Designation(s), the terms of office of all such additional directors elected by the holders of such series of Preferred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spacing w:after="0" w:line="192" w:lineRule="exact"/>
        <w:rPr>
          <w:rFonts w:ascii="Times New Roman" w:cs="Times New Roman" w:eastAsia="Times New Roman" w:hAnsi="Times New Roman"/>
          <w:sz w:val="22"/>
          <w:szCs w:val="22"/>
          <w:color w:val="auto"/>
        </w:rPr>
      </w:pPr>
    </w:p>
    <w:p>
      <w:pPr>
        <w:jc w:val="both"/>
        <w:ind w:left="-656" w:firstLine="656"/>
        <w:spacing w:after="0" w:line="253" w:lineRule="auto"/>
        <w:tabs>
          <w:tab w:leader="none" w:pos="62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furtherance and not in limitation of the powers conferred by statute, the Board of Directors is expressly authorized to adopt, amend or repeal Bylaws of the Corporation, In addition to any vote of the holders of any class or series of stock of the Corporation required by applicable law or by this Restated Certificate (including any Certificate of Designation in respect of one or more series of Preferred Stock) or the Bylaws of the Corporation, the adoption, amendment or repeal of the Bylaws of the Corporation by the stockholders of the Corporation</w:t>
      </w:r>
    </w:p>
    <w:p>
      <w:pPr>
        <w:sectPr>
          <w:pgSz w:w="11900" w:h="16838" w:orient="portrait"/>
          <w:cols w:equalWidth="0" w:num="1">
            <w:col w:w="10584"/>
          </w:cols>
          <w:pgMar w:left="976" w:top="1422" w:right="339" w:bottom="1440" w:gutter="0" w:footer="0" w:header="0"/>
        </w:sectPr>
      </w:pPr>
    </w:p>
    <w:bookmarkStart w:id="15" w:name="page16"/>
    <w:bookmarkEnd w:id="15"/>
    <w:p>
      <w:pPr>
        <w:spacing w:after="0" w:line="271" w:lineRule="auto"/>
        <w:rPr>
          <w:sz w:val="20"/>
          <w:szCs w:val="20"/>
          <w:color w:val="auto"/>
        </w:rPr>
      </w:pPr>
      <w:r>
        <w:rPr>
          <w:rFonts w:ascii="Times New Roman" w:cs="Times New Roman" w:eastAsia="Times New Roman" w:hAnsi="Times New Roman"/>
          <w:sz w:val="22"/>
          <w:szCs w:val="22"/>
          <w:color w:val="auto"/>
        </w:rPr>
        <w:t>shall require the affirmative vote of the holders of at least two-thirds of the voting power of all of the then outstanding shares of voting stock of the Corporation entitled to vote generally in an election of directors.</w:t>
      </w:r>
    </w:p>
    <w:p>
      <w:pPr>
        <w:spacing w:after="0" w:line="158"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directors of the Corporation need not be elected by written ballot unless the Bylaws so provide.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24" w:lineRule="exact"/>
        <w:rPr>
          <w:sz w:val="20"/>
          <w:szCs w:val="20"/>
          <w:color w:val="auto"/>
        </w:rPr>
      </w:pPr>
    </w:p>
    <w:p>
      <w:pPr>
        <w:jc w:val="both"/>
        <w:ind w:firstLine="656"/>
        <w:spacing w:after="0" w:line="248" w:lineRule="auto"/>
        <w:tabs>
          <w:tab w:leader="none" w:pos="129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required or permitted to be taken by the stockholders of the Corporation must be effected at an annual or special meeting of stockholders of the Corporation, and shall not be taken by written consent in lieu of a meeting. Notwithstanding the foregoing,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if a consent or consents in writing, setting forth the action so taken, shall be signed by the holders of outstanding shares of the relevant series of Preferred Stock having not less than the minimum number of votes that would be necessary to authorize or take such action at a meeting at which all shares entitled to vote thereon were present and voted and shall be delivered to the Corporation in accordance with the applicable provisions of the DGCL.</w:t>
      </w:r>
    </w:p>
    <w:p>
      <w:pPr>
        <w:spacing w:after="0" w:line="185"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special rights of the holders of one or more series of Preferred Stock, special meetings of stockholders of the Corporation may be called, for any purpose or purposes, at any time only by or at the direction of the Board of Directors, the Chair of the Board of Directors, the Chief Executive Officer or President, and shall not be called by any other person or persons.</w:t>
      </w:r>
    </w:p>
    <w:p>
      <w:pPr>
        <w:spacing w:after="0" w:line="176"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Advance notice of stockholder nominations for the election of directors and of other business proposed to be brought by stockholders before any meeting of stockholders of the Corporation shall be given in the manner provided in the Bylaws of the Corporation.</w:t>
      </w:r>
    </w:p>
    <w:p>
      <w:pPr>
        <w:spacing w:after="0" w:line="16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Business Combinations with Interested Stockholders</w:t>
      </w:r>
      <w:r>
        <w:rPr>
          <w:rFonts w:ascii="Times New Roman" w:cs="Times New Roman" w:eastAsia="Times New Roman" w:hAnsi="Times New Roman"/>
          <w:sz w:val="21"/>
          <w:szCs w:val="21"/>
          <w:color w:val="auto"/>
        </w:rPr>
        <w:t>. The Corporation elects not to be governed by Section 203 of</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DGCL.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No director or officer of the Corporation shall have any personal liability to the Corporation or its stockholders for monetary damages for any breach of fiduciary duty as a director or officer, except to the extent such exemption from liability or limitation thereof is not permitted under the DGCL as the same exists or hereafter may be amended, Any amendment, repeal or modification of this Article Vin, or the adoption of any provision of the Restated Certificate inconsistent with this Article VIII, shall not adversely affect any right or protection of a director or officer of the Corporation with respect to any act or omission occurring prior to such amendment, repeal, modification or adoption. If the DGCL is amended after approval by the stockholders of this Article VIII to authorize corporate action further eliminating or limiting the</w:t>
      </w:r>
    </w:p>
    <w:p>
      <w:pPr>
        <w:sectPr>
          <w:pgSz w:w="11900" w:h="16838" w:orient="portrait"/>
          <w:cols w:equalWidth="0" w:num="1">
            <w:col w:w="11240"/>
          </w:cols>
          <w:pgMar w:left="320" w:top="1422" w:right="339" w:bottom="1440" w:gutter="0" w:footer="0" w:header="0"/>
        </w:sectPr>
      </w:pPr>
    </w:p>
    <w:bookmarkStart w:id="16" w:name="page17"/>
    <w:bookmarkEnd w:id="16"/>
    <w:p>
      <w:pPr>
        <w:spacing w:after="0" w:line="271" w:lineRule="auto"/>
        <w:rPr>
          <w:sz w:val="20"/>
          <w:szCs w:val="20"/>
          <w:color w:val="auto"/>
        </w:rPr>
      </w:pPr>
      <w:r>
        <w:rPr>
          <w:rFonts w:ascii="Times New Roman" w:cs="Times New Roman" w:eastAsia="Times New Roman" w:hAnsi="Times New Roman"/>
          <w:sz w:val="22"/>
          <w:szCs w:val="22"/>
          <w:color w:val="auto"/>
        </w:rPr>
        <w:t>personal liability of directors or officers, then the liability of a director or officer of the Corporation shall be eliminated or limited to the fullest extent permitted by the DGCL as so amended.</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37"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22"/>
          <w:szCs w:val="22"/>
          <w:color w:val="auto"/>
        </w:rPr>
        <w:t>To the fullest extent permitted by the laws of the State of Delaware and in accordance with Section 122(17) of the DGCL (or any successor provision thereto), (i) the Corporation hereby renounces all interest and expectancy that it otherwise would be entitled to have in, and all rights to be offered an opportunity to participate in, any business opportunity that is presented to or acquired, created, or developed by, or otherwise comes into the possession of any directors of the Corporation and any of their Affiliates (such Persons being referred to collectively herein as, “</w:t>
      </w:r>
      <w:r>
        <w:rPr>
          <w:rFonts w:ascii="Times New Roman" w:cs="Times New Roman" w:eastAsia="Times New Roman" w:hAnsi="Times New Roman"/>
          <w:sz w:val="22"/>
          <w:szCs w:val="22"/>
          <w:u w:val="single" w:color="auto"/>
          <w:color w:val="auto"/>
        </w:rPr>
        <w:t>Covered Persons</w:t>
      </w:r>
      <w:r>
        <w:rPr>
          <w:rFonts w:ascii="Times New Roman" w:cs="Times New Roman" w:eastAsia="Times New Roman" w:hAnsi="Times New Roman"/>
          <w:sz w:val="22"/>
          <w:szCs w:val="22"/>
          <w:color w:val="auto"/>
        </w:rPr>
        <w:t>” and, individually, as a “</w:t>
      </w:r>
      <w:r>
        <w:rPr>
          <w:rFonts w:ascii="Times New Roman" w:cs="Times New Roman" w:eastAsia="Times New Roman" w:hAnsi="Times New Roman"/>
          <w:sz w:val="22"/>
          <w:szCs w:val="22"/>
          <w:u w:val="single" w:color="auto"/>
          <w:color w:val="auto"/>
        </w:rPr>
        <w:t>Covered Person</w:t>
      </w:r>
      <w:r>
        <w:rPr>
          <w:rFonts w:ascii="Times New Roman" w:cs="Times New Roman" w:eastAsia="Times New Roman" w:hAnsi="Times New Roman"/>
          <w:sz w:val="22"/>
          <w:szCs w:val="22"/>
          <w:color w:val="auto"/>
        </w:rPr>
        <w:t xml:space="preserve">”); (ii) no Covered Person will have any duty to refrain from (1) engaging in a corporate opportunity that may be in the same or similar lines of business in which the Corporation or its subsidiaries from time to time is engaged or proposes to engage in or (2) otherwise competing, directly or indirectly, with the Corporation or any of its subsidiaries; and (iii) if any Covered Person acquires knowledge of a potential transaction or other business opportunity which may be a corporate opportunity both for such Covered Person or any of their respective Affiliates, on the one hand, and for the Corporation or its subsidiaries, on the other hand, such Covered Person shall have no duty to communicate or offer such transaction or business opportunity to the Corporation or its subsidiaries and such Covered Person or any of their respective Affiliates may take any and all such transactions or opportunities for itself or offer such transactions or opportunities to any other Person and, to the fullest extent permitted by the laws of the State of Delaware, shall not be liable to the Corporation or its stockholders or any of its subsidiaries for any fiduciary duty or other duty (contractual or otherwise) including as a stockholder, director or officer of the Corporation solely by reason of the fact that such Covered Person pursues or acquires such corporate opportunity for itself, offers or directs such corporate opportunity to another Person, or does not present such corporate opportunity to the Corporation or its subsidiaries,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for purposes of this section means a Person that directly, or indirectly through one or more intermediaries, controls, or is controlled by, or is under common control with, another Person, “Person” for purposes of this section means any individual, corporation, general or limited partnership, limited liability company, joint venture, trust, association or any other entity.</w:t>
      </w:r>
    </w:p>
    <w:p>
      <w:pPr>
        <w:spacing w:after="0" w:line="21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2"/>
          <w:szCs w:val="22"/>
          <w:color w:val="auto"/>
        </w:rPr>
        <w:t>To the fullest extent permitted by the laws of the State of Delaware, no potential transaction or business opportunity may be deemed to be a corporate opportunity of the Corporation or its subsidiaries unless (i) the Corporation or its subsidiaries would be permitted to undertake such transaction or opportunity in accordance with this Restated Certificate, (ii) the Corporation or its subsidiaries at such time have sufficient financial resources to undertake such transaction or opportunity, (iii) the Corporation or its subsidiaries have an interest or expectancy in such transaction or opportunity, and (iv) such transaction or opportunity would be in the same or similar line of business in which the Corporation or its subsidiaries are then engaged or a line of business that is reasonably related to, or a reasonable extension of, such line of business.</w:t>
      </w:r>
    </w:p>
    <w:p>
      <w:pPr>
        <w:sectPr>
          <w:pgSz w:w="11900" w:h="16838" w:orient="portrait"/>
          <w:cols w:equalWidth="0" w:num="1">
            <w:col w:w="11240"/>
          </w:cols>
          <w:pgMar w:left="320" w:top="1422" w:right="339" w:bottom="1440" w:gutter="0" w:footer="0" w:header="0"/>
        </w:sectPr>
      </w:pPr>
    </w:p>
    <w:bookmarkStart w:id="17" w:name="page18"/>
    <w:bookmarkEnd w:id="17"/>
    <w:p>
      <w:pPr>
        <w:ind w:right="120" w:firstLine="648"/>
        <w:spacing w:after="0" w:line="265" w:lineRule="auto"/>
        <w:rPr>
          <w:sz w:val="20"/>
          <w:szCs w:val="20"/>
          <w:color w:val="auto"/>
        </w:rPr>
      </w:pPr>
      <w:r>
        <w:rPr>
          <w:rFonts w:ascii="Times New Roman" w:cs="Times New Roman" w:eastAsia="Times New Roman" w:hAnsi="Times New Roman"/>
          <w:sz w:val="21"/>
          <w:szCs w:val="21"/>
          <w:color w:val="auto"/>
        </w:rPr>
        <w:t>To the fullest extent permitted by law, any Person purchasing or otherwise acquiring or holding any interest in any shares of capital stock of the Corporation shall be deemed to have notice of and to have consented to the provisions of this Article IX, Neither the alteration, amendment, addition to or repeal of this Article IX, nor the adoption of any provision of this Restated Certificate (including any Certificate of Designation) inconsistent with this Article IX, shall eliminate or reduce the effect of this Article IX in respect of any business opportunity first identified or any other matter occurring, or any cause of action, suit or claim that, but for this Article IX, would accrue or arise, prior to such alteration, amendment, addition, repeal or adoption.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224"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The Corporation shall have the power to provide rights to indemnification and advancement of expenses to its current and former officers, directors, employees and agents and to any person who is or was serving at the request of the Corporation as a director, officer, employee or agent of another corporation, partnership, joint venture, trust or other enterprise.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22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Unless the Corporation consents in writing to the selection of an alternative forum, (a) the Court of Chancery (the “</w:t>
      </w:r>
      <w:r>
        <w:rPr>
          <w:rFonts w:ascii="Times New Roman" w:cs="Times New Roman" w:eastAsia="Times New Roman" w:hAnsi="Times New Roman"/>
          <w:sz w:val="21"/>
          <w:szCs w:val="21"/>
          <w:u w:val="single" w:color="auto"/>
          <w:color w:val="auto"/>
        </w:rPr>
        <w:t>Chancery Court</w:t>
      </w:r>
      <w:r>
        <w:rPr>
          <w:rFonts w:ascii="Times New Roman" w:cs="Times New Roman" w:eastAsia="Times New Roman" w:hAnsi="Times New Roman"/>
          <w:sz w:val="21"/>
          <w:szCs w:val="21"/>
          <w:color w:val="auto"/>
        </w:rPr>
        <w: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behalf of the Corporation, (ii) any action, suit or proceeding asserting a claim of breach of a fiduciary duty owed by any director, officer or stockholder of the Corporation to the Corporation or to the Corporation’s stockholders, (iii) any action, suit or proceeding arising pursuant to any provision of the DGCL or the bylaws of the Corporation or this Restated Certificate (as either may be amended from time to time) or (iv) any action, suit or proceeding asserting a claim against the Corporation governed by the internal affairs doctrine; and</w:t>
      </w:r>
    </w:p>
    <w:p>
      <w:pPr>
        <w:spacing w:after="0" w:line="7" w:lineRule="exact"/>
        <w:rPr>
          <w:sz w:val="20"/>
          <w:szCs w:val="20"/>
          <w:color w:val="auto"/>
        </w:rPr>
      </w:pPr>
    </w:p>
    <w:p>
      <w:pPr>
        <w:jc w:val="both"/>
        <w:ind w:firstLine="8"/>
        <w:spacing w:after="0" w:line="246" w:lineRule="auto"/>
        <w:tabs>
          <w:tab w:leader="none" w:pos="31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preceding provisions of this Article XI, the federal district courts of the United States of America shall be the exclusive forum for the resolution of any complaint asserting a cause or causes of action arising under the Securities Act of 1933, as amended, including all causes of action asserted against any defendant to such complaint. If any action the subject matter of which is within the scope of clause (a) of the immediately preceding sentence is filed in a court other than the courts in the State of Delaware (a “</w:t>
      </w:r>
      <w:r>
        <w:rPr>
          <w:rFonts w:ascii="Times New Roman" w:cs="Times New Roman" w:eastAsia="Times New Roman" w:hAnsi="Times New Roman"/>
          <w:sz w:val="22"/>
          <w:szCs w:val="22"/>
          <w:u w:val="single" w:color="auto"/>
          <w:color w:val="auto"/>
        </w:rPr>
        <w:t>Foreign Action</w:t>
      </w:r>
      <w:r>
        <w:rPr>
          <w:rFonts w:ascii="Times New Roman" w:cs="Times New Roman" w:eastAsia="Times New Roman" w:hAnsi="Times New Roman"/>
          <w:sz w:val="22"/>
          <w:szCs w:val="22"/>
          <w:color w:val="auto"/>
        </w:rPr>
        <w:t>”)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w:t>
      </w:r>
    </w:p>
    <w:p>
      <w:pPr>
        <w:spacing w:after="0" w:line="192"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1"/>
          <w:szCs w:val="21"/>
          <w:color w:val="auto"/>
        </w:rPr>
        <w:t>Any person or entity purchasing or otherwise acquiring any interest in any security of the Corporation shall be deemed to have notice of and consented to this Article XI, This Article XI is intended to benefit and may be enforced by the Corporation, its officers and directors, the underwriters to any offering giving rise to such complaint, and any other professional or entity</w:t>
      </w:r>
    </w:p>
    <w:p>
      <w:pPr>
        <w:sectPr>
          <w:pgSz w:w="11900" w:h="16838" w:orient="portrait"/>
          <w:cols w:equalWidth="0" w:num="1">
            <w:col w:w="11240"/>
          </w:cols>
          <w:pgMar w:left="320" w:top="1422" w:right="339" w:bottom="1440" w:gutter="0" w:footer="0" w:header="0"/>
        </w:sectPr>
      </w:pPr>
    </w:p>
    <w:bookmarkStart w:id="18" w:name="page19"/>
    <w:bookmarkEnd w:id="18"/>
    <w:p>
      <w:pPr>
        <w:jc w:val="both"/>
        <w:spacing w:after="0" w:line="256" w:lineRule="auto"/>
        <w:rPr>
          <w:sz w:val="20"/>
          <w:szCs w:val="20"/>
          <w:color w:val="auto"/>
        </w:rPr>
      </w:pPr>
      <w:r>
        <w:rPr>
          <w:rFonts w:ascii="Times New Roman" w:cs="Times New Roman" w:eastAsia="Times New Roman" w:hAnsi="Times New Roman"/>
          <w:sz w:val="22"/>
          <w:szCs w:val="22"/>
          <w:color w:val="auto"/>
        </w:rPr>
        <w:t>whose profession gives authority to a statement made by that person or entity and who has prepared or certified any part of the documents underlying the offering. Notwithstanding the foregoing, the provisions of this Article XI shall not apply to suits brought to enforce any liability or duty created by the Securities Exchange Act of 1934, as amended, or any other claim for which the federal courts of the United States have exclusive jurisdiction.</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If any provision or provisions of this Article XI shall be held to be invalid, illegal or unenforceable as applied to any circumstance for any reason whatsoever, (a) the validity, legality and enforceability of such provisions in any other circumstance and of the remaining provisions of this Article XI (including, without limitation, each portion of any paragraph of this Article XI containing any such provision held to be invalid, illegal or unenforceable that is not itself held to be invalid, illegal or unenforceable) shall not in any way be affected or impaired thereby and (b) the application of such provision to other persons or entities and circumstances shall not in any way be affected or impaired thereby.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XII</w:t>
      </w:r>
    </w:p>
    <w:p>
      <w:pPr>
        <w:spacing w:after="0" w:line="224" w:lineRule="exact"/>
        <w:rPr>
          <w:sz w:val="20"/>
          <w:szCs w:val="20"/>
          <w:color w:val="auto"/>
        </w:rPr>
      </w:pPr>
    </w:p>
    <w:p>
      <w:pPr>
        <w:jc w:val="both"/>
        <w:ind w:firstLine="656"/>
        <w:spacing w:after="0" w:line="251" w:lineRule="auto"/>
        <w:tabs>
          <w:tab w:leader="none" w:pos="129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contained in this Restated Certificate to the contrary, in addition to any vote required by applicable law, the following provisions in this Restated Certificate may be amended, altered, repealed or rescinded, in whole or in part, or any provision inconsistent therewith or herewith may be adopted, only by the affirmative vote of the holders of at least 66 2/3% of the total voting power of all the then outstanding shares of stock of the Corporation entitled to vote thereon, voting together as a single class: Part B of Article V, Article VI, Article VII, Article VIII, Article IX, Article X, Article XI and this Article XII.</w:t>
      </w:r>
    </w:p>
    <w:p>
      <w:pPr>
        <w:spacing w:after="0" w:line="181"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provision or provisions of this Restated Certificate shall be held to be invalid, illegal or unenforceable as applied to any circumstance for any reason whatsoever: (i) the validity, legality and enforceability of such provisions in any other circumstance and of the remaining provisions of this Restated Certificate (including, without limitation, each portion of any paragraph of this Restated Certificate containing any such provision held to be invalid, illegal or unenforceable that is not itself held to be invalid, illegal or unenforceable) shall not, to the fullest extent permitted by applicable law, in any way be affected or impaired thereby and (ii) to the fullest extent permitted by applicable law, the provisions of this Restated Certificate (including, without limitation, each such portion of any paragraph of this Restated Certificate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ectPr>
          <w:pgSz w:w="11900" w:h="16838" w:orient="portrait"/>
          <w:cols w:equalWidth="0" w:num="1">
            <w:col w:w="11240"/>
          </w:cols>
          <w:pgMar w:left="320" w:top="1422"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7"/>
          <w:szCs w:val="27"/>
          <w:b w:val="1"/>
          <w:bCs w:val="1"/>
          <w:color w:val="auto"/>
        </w:rPr>
        <w:t>Amended and Restated Bylaws of</w:t>
      </w:r>
    </w:p>
    <w:p>
      <w:pPr>
        <w:spacing w:after="0" w:line="17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7"/>
          <w:szCs w:val="27"/>
          <w:b w:val="1"/>
          <w:bCs w:val="1"/>
          <w:color w:val="auto"/>
        </w:rPr>
        <w:t>Fervo Energy Company</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 Delaware corporation)</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as of May 12, 2026</w:t>
      </w:r>
    </w:p>
    <w:p>
      <w:pPr>
        <w:sectPr>
          <w:pgSz w:w="11900" w:h="16838" w:orient="portrait"/>
          <w:cols w:equalWidth="0" w:num="1">
            <w:col w:w="10120"/>
          </w:cols>
          <w:pgMar w:left="1440" w:top="104"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86"/>
        </w:trPr>
        <w:tc>
          <w:tcPr>
            <w:tcW w:w="800" w:type="dxa"/>
            <w:vAlign w:val="bottom"/>
          </w:tcPr>
          <w:p>
            <w:pPr>
              <w:spacing w:after="0"/>
              <w:rPr>
                <w:sz w:val="24"/>
                <w:szCs w:val="24"/>
                <w:color w:val="auto"/>
              </w:rPr>
            </w:pPr>
          </w:p>
        </w:tc>
        <w:tc>
          <w:tcPr>
            <w:tcW w:w="9800" w:type="dxa"/>
            <w:vAlign w:val="bottom"/>
          </w:tcPr>
          <w:p>
            <w:pPr>
              <w:ind w:left="40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380" w:type="dxa"/>
            <w:vAlign w:val="bottom"/>
          </w:tcPr>
          <w:p>
            <w:pPr>
              <w:spacing w:after="0"/>
              <w:rPr>
                <w:sz w:val="24"/>
                <w:szCs w:val="24"/>
                <w:color w:val="auto"/>
              </w:rPr>
            </w:pPr>
          </w:p>
        </w:tc>
      </w:tr>
      <w:tr>
        <w:trPr>
          <w:trHeight w:val="204"/>
        </w:trPr>
        <w:tc>
          <w:tcPr>
            <w:tcW w:w="800" w:type="dxa"/>
            <w:vAlign w:val="bottom"/>
          </w:tcPr>
          <w:p>
            <w:pPr>
              <w:spacing w:after="0"/>
              <w:rPr>
                <w:sz w:val="17"/>
                <w:szCs w:val="17"/>
                <w:color w:val="auto"/>
              </w:rPr>
            </w:pPr>
          </w:p>
        </w:tc>
        <w:tc>
          <w:tcPr>
            <w:tcW w:w="9800" w:type="dxa"/>
            <w:vAlign w:val="bottom"/>
          </w:tcPr>
          <w:p>
            <w:pPr>
              <w:spacing w:after="0"/>
              <w:rPr>
                <w:sz w:val="17"/>
                <w:szCs w:val="17"/>
                <w:color w:val="auto"/>
              </w:rPr>
            </w:pPr>
          </w:p>
        </w:tc>
        <w:tc>
          <w:tcPr>
            <w:tcW w:w="380" w:type="dxa"/>
            <w:vAlign w:val="bottom"/>
            <w:tcBorders>
              <w:bottom w:val="single" w:sz="8" w:color="auto"/>
            </w:tcBorders>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245"/>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 Corporate Offices</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1.1</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Registered Office</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Offices</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79"/>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 Meetings of Stockholders</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2.1</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Place of Meetings</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2.2</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Annual Meeting</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2.3</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Meeting</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2.4</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 of Business to be Brought before a Meeting</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2.5</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 of Nominations for Election to the Board of Directors.</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2.6</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Requirements for Valid Nomination of Candidates to Serve as Director and, if Elected, to be Seated as Directors</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29"/>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2.7</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 of Stockholders’ Meetings</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30"/>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2.8</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Quorum</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29"/>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2.9</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Adjourned Meeting; Notice</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29"/>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2.10</w:t>
            </w:r>
          </w:p>
        </w:tc>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Conduct of Business</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30"/>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2.11</w:t>
            </w: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Voting</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29"/>
        </w:trPr>
        <w:tc>
          <w:tcPr>
            <w:tcW w:w="10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2.12  Record Date for Stockholder Meetings and Other Purposes</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30"/>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2.13</w:t>
            </w:r>
          </w:p>
        </w:tc>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Proxies</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29"/>
        </w:trPr>
        <w:tc>
          <w:tcPr>
            <w:tcW w:w="10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2.14  List of Stockholders Entitled to Vote</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29"/>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2.15</w:t>
            </w:r>
          </w:p>
        </w:tc>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Inspectors of Election</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34"/>
        </w:trPr>
        <w:tc>
          <w:tcPr>
            <w:tcW w:w="10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2.16  Delivery to the Corporation.</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79"/>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 Directors</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29"/>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3.1</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Powers</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30"/>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3.2</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Number of Directors</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30"/>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3.3</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Election, Qualification and Term of Office of Directors</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30"/>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3.4</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Resignation and Vacancies</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29"/>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3.5</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Place of Meetings; Meetings by Telephone</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30"/>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3.6</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Regular Meetings</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30"/>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3.7</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Meetings; Notice</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30"/>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3.8</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Quorum</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29"/>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3.9</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Board Action without a Meeting</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34"/>
        </w:trPr>
        <w:tc>
          <w:tcPr>
            <w:tcW w:w="10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3.10  Fees and Compensation of Directors</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79"/>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 Committees</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29"/>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4.1</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Committees of Directors</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30"/>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4.2</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Committee Minutes</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30"/>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4.3</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Meetings and Actions of Committees</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34"/>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4.4</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Subcommittees.</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79"/>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 Officers</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30"/>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5.1</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Officers</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34"/>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5.2</w:t>
            </w: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Appointment of Officers</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bl>
    <w:p>
      <w:pPr>
        <w:sectPr>
          <w:pgSz w:w="11900" w:h="16838" w:orient="portrait"/>
          <w:cols w:equalWidth="0" w:num="1">
            <w:col w:w="10980"/>
          </w:cols>
          <w:pgMar w:left="340" w:top="1404" w:right="57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6180" w:type="dxa"/>
            <w:vAlign w:val="bottom"/>
            <w:gridSpan w:val="2"/>
          </w:tcPr>
          <w:p>
            <w:pPr>
              <w:jc w:val="center"/>
              <w:ind w:right="4470"/>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286"/>
        </w:trPr>
        <w:tc>
          <w:tcPr>
            <w:tcW w:w="8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180" w:type="dxa"/>
            <w:vAlign w:val="bottom"/>
            <w:gridSpan w:val="2"/>
          </w:tcPr>
          <w:p>
            <w:pPr>
              <w:jc w:val="center"/>
              <w:ind w:right="4470"/>
              <w:spacing w:after="0"/>
              <w:rPr>
                <w:sz w:val="20"/>
                <w:szCs w:val="20"/>
                <w:color w:val="auto"/>
              </w:rPr>
            </w:pPr>
            <w:r>
              <w:rPr>
                <w:rFonts w:ascii="Times New Roman" w:cs="Times New Roman" w:eastAsia="Times New Roman" w:hAnsi="Times New Roman"/>
                <w:sz w:val="22"/>
                <w:szCs w:val="22"/>
                <w:b w:val="1"/>
                <w:bCs w:val="1"/>
                <w:color w:val="auto"/>
                <w:w w:val="98"/>
              </w:rPr>
              <w:t>(continued)</w:t>
            </w:r>
          </w:p>
        </w:tc>
      </w:tr>
      <w:tr>
        <w:trPr>
          <w:trHeight w:val="204"/>
        </w:trPr>
        <w:tc>
          <w:tcPr>
            <w:tcW w:w="8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380" w:type="dxa"/>
            <w:vAlign w:val="bottom"/>
            <w:tcBorders>
              <w:bottom w:val="single" w:sz="8" w:color="auto"/>
            </w:tcBorders>
          </w:tcPr>
          <w:p>
            <w:pPr>
              <w:jc w:val="center"/>
              <w:spacing w:after="0" w:line="204" w:lineRule="exact"/>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45"/>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5.3</w:t>
            </w: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Subordinate Officers</w:t>
            </w:r>
          </w:p>
        </w:tc>
        <w:tc>
          <w:tcPr>
            <w:tcW w:w="6180" w:type="dxa"/>
            <w:vAlign w:val="bottom"/>
            <w:gridSpan w:val="2"/>
          </w:tcPr>
          <w:p>
            <w:pPr>
              <w:jc w:val="center"/>
              <w:ind w:left="5710"/>
              <w:spacing w:after="0"/>
              <w:rPr>
                <w:sz w:val="20"/>
                <w:szCs w:val="20"/>
                <w:color w:val="auto"/>
              </w:rPr>
            </w:pPr>
            <w:r>
              <w:rPr>
                <w:rFonts w:ascii="Times New Roman" w:cs="Times New Roman" w:eastAsia="Times New Roman" w:hAnsi="Times New Roman"/>
                <w:sz w:val="18"/>
                <w:szCs w:val="18"/>
                <w:color w:val="auto"/>
                <w:w w:val="99"/>
              </w:rPr>
              <w:t>20</w:t>
            </w:r>
          </w:p>
        </w:tc>
      </w:tr>
      <w:tr>
        <w:trPr>
          <w:trHeight w:val="229"/>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5.4</w:t>
            </w: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Removal and Resignation of Officers</w:t>
            </w:r>
          </w:p>
        </w:tc>
        <w:tc>
          <w:tcPr>
            <w:tcW w:w="6180" w:type="dxa"/>
            <w:vAlign w:val="bottom"/>
            <w:gridSpan w:val="2"/>
          </w:tcPr>
          <w:p>
            <w:pPr>
              <w:jc w:val="center"/>
              <w:ind w:left="5710"/>
              <w:spacing w:after="0"/>
              <w:rPr>
                <w:sz w:val="20"/>
                <w:szCs w:val="20"/>
                <w:color w:val="auto"/>
              </w:rPr>
            </w:pPr>
            <w:r>
              <w:rPr>
                <w:rFonts w:ascii="Times New Roman" w:cs="Times New Roman" w:eastAsia="Times New Roman" w:hAnsi="Times New Roman"/>
                <w:sz w:val="18"/>
                <w:szCs w:val="18"/>
                <w:color w:val="auto"/>
                <w:w w:val="99"/>
              </w:rPr>
              <w:t>20</w:t>
            </w:r>
          </w:p>
        </w:tc>
      </w:tr>
      <w:tr>
        <w:trPr>
          <w:trHeight w:val="230"/>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5.5</w:t>
            </w: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Vacancies in Offices</w:t>
            </w:r>
          </w:p>
        </w:tc>
        <w:tc>
          <w:tcPr>
            <w:tcW w:w="6180" w:type="dxa"/>
            <w:vAlign w:val="bottom"/>
            <w:gridSpan w:val="2"/>
          </w:tcPr>
          <w:p>
            <w:pPr>
              <w:jc w:val="center"/>
              <w:ind w:left="5710"/>
              <w:spacing w:after="0"/>
              <w:rPr>
                <w:sz w:val="20"/>
                <w:szCs w:val="20"/>
                <w:color w:val="auto"/>
              </w:rPr>
            </w:pPr>
            <w:r>
              <w:rPr>
                <w:rFonts w:ascii="Times New Roman" w:cs="Times New Roman" w:eastAsia="Times New Roman" w:hAnsi="Times New Roman"/>
                <w:sz w:val="18"/>
                <w:szCs w:val="18"/>
                <w:color w:val="auto"/>
                <w:w w:val="99"/>
              </w:rPr>
              <w:t>20</w:t>
            </w:r>
          </w:p>
        </w:tc>
      </w:tr>
      <w:tr>
        <w:trPr>
          <w:trHeight w:val="229"/>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5.6</w:t>
            </w: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Representation of Shares of Other Corporations</w:t>
            </w:r>
          </w:p>
        </w:tc>
        <w:tc>
          <w:tcPr>
            <w:tcW w:w="6180" w:type="dxa"/>
            <w:vAlign w:val="bottom"/>
            <w:gridSpan w:val="2"/>
          </w:tcPr>
          <w:p>
            <w:pPr>
              <w:jc w:val="center"/>
              <w:ind w:left="5710"/>
              <w:spacing w:after="0"/>
              <w:rPr>
                <w:sz w:val="20"/>
                <w:szCs w:val="20"/>
                <w:color w:val="auto"/>
              </w:rPr>
            </w:pPr>
            <w:r>
              <w:rPr>
                <w:rFonts w:ascii="Times New Roman" w:cs="Times New Roman" w:eastAsia="Times New Roman" w:hAnsi="Times New Roman"/>
                <w:sz w:val="18"/>
                <w:szCs w:val="18"/>
                <w:color w:val="auto"/>
                <w:w w:val="99"/>
              </w:rPr>
              <w:t>20</w:t>
            </w:r>
          </w:p>
        </w:tc>
      </w:tr>
      <w:tr>
        <w:trPr>
          <w:trHeight w:val="230"/>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5.7</w:t>
            </w: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Authority and Duties of Officers</w:t>
            </w:r>
          </w:p>
        </w:tc>
        <w:tc>
          <w:tcPr>
            <w:tcW w:w="6180" w:type="dxa"/>
            <w:vAlign w:val="bottom"/>
            <w:gridSpan w:val="2"/>
          </w:tcPr>
          <w:p>
            <w:pPr>
              <w:jc w:val="center"/>
              <w:ind w:left="5710"/>
              <w:spacing w:after="0"/>
              <w:rPr>
                <w:sz w:val="20"/>
                <w:szCs w:val="20"/>
                <w:color w:val="auto"/>
              </w:rPr>
            </w:pPr>
            <w:r>
              <w:rPr>
                <w:rFonts w:ascii="Times New Roman" w:cs="Times New Roman" w:eastAsia="Times New Roman" w:hAnsi="Times New Roman"/>
                <w:sz w:val="18"/>
                <w:szCs w:val="18"/>
                <w:color w:val="auto"/>
                <w:w w:val="99"/>
              </w:rPr>
              <w:t>20</w:t>
            </w:r>
          </w:p>
        </w:tc>
      </w:tr>
      <w:tr>
        <w:trPr>
          <w:trHeight w:val="234"/>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5.8</w:t>
            </w: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w:t>
            </w:r>
          </w:p>
        </w:tc>
        <w:tc>
          <w:tcPr>
            <w:tcW w:w="6180" w:type="dxa"/>
            <w:vAlign w:val="bottom"/>
            <w:gridSpan w:val="2"/>
          </w:tcPr>
          <w:p>
            <w:pPr>
              <w:jc w:val="center"/>
              <w:ind w:left="5710"/>
              <w:spacing w:after="0"/>
              <w:rPr>
                <w:sz w:val="20"/>
                <w:szCs w:val="20"/>
                <w:color w:val="auto"/>
              </w:rPr>
            </w:pPr>
            <w:r>
              <w:rPr>
                <w:rFonts w:ascii="Times New Roman" w:cs="Times New Roman" w:eastAsia="Times New Roman" w:hAnsi="Times New Roman"/>
                <w:sz w:val="18"/>
                <w:szCs w:val="18"/>
                <w:color w:val="auto"/>
                <w:w w:val="99"/>
              </w:rPr>
              <w:t>20</w:t>
            </w:r>
          </w:p>
        </w:tc>
      </w:tr>
      <w:tr>
        <w:trPr>
          <w:trHeight w:val="283"/>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 Records</w:t>
            </w:r>
          </w:p>
        </w:tc>
        <w:tc>
          <w:tcPr>
            <w:tcW w:w="6180" w:type="dxa"/>
            <w:vAlign w:val="bottom"/>
            <w:gridSpan w:val="2"/>
          </w:tcPr>
          <w:p>
            <w:pPr>
              <w:jc w:val="center"/>
              <w:ind w:left="5710"/>
              <w:spacing w:after="0"/>
              <w:rPr>
                <w:sz w:val="20"/>
                <w:szCs w:val="20"/>
                <w:color w:val="auto"/>
              </w:rPr>
            </w:pPr>
            <w:r>
              <w:rPr>
                <w:rFonts w:ascii="Times New Roman" w:cs="Times New Roman" w:eastAsia="Times New Roman" w:hAnsi="Times New Roman"/>
                <w:sz w:val="18"/>
                <w:szCs w:val="18"/>
                <w:color w:val="auto"/>
                <w:w w:val="99"/>
              </w:rPr>
              <w:t>21</w:t>
            </w:r>
          </w:p>
        </w:tc>
      </w:tr>
      <w:tr>
        <w:trPr>
          <w:trHeight w:val="279"/>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 General Matters</w:t>
            </w:r>
          </w:p>
        </w:tc>
        <w:tc>
          <w:tcPr>
            <w:tcW w:w="6180" w:type="dxa"/>
            <w:vAlign w:val="bottom"/>
            <w:gridSpan w:val="2"/>
          </w:tcPr>
          <w:p>
            <w:pPr>
              <w:jc w:val="center"/>
              <w:ind w:left="5710"/>
              <w:spacing w:after="0"/>
              <w:rPr>
                <w:sz w:val="20"/>
                <w:szCs w:val="20"/>
                <w:color w:val="auto"/>
              </w:rPr>
            </w:pPr>
            <w:r>
              <w:rPr>
                <w:rFonts w:ascii="Times New Roman" w:cs="Times New Roman" w:eastAsia="Times New Roman" w:hAnsi="Times New Roman"/>
                <w:sz w:val="18"/>
                <w:szCs w:val="18"/>
                <w:color w:val="auto"/>
                <w:w w:val="99"/>
              </w:rPr>
              <w:t>21</w:t>
            </w:r>
          </w:p>
        </w:tc>
      </w:tr>
      <w:tr>
        <w:trPr>
          <w:trHeight w:val="230"/>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7.1</w:t>
            </w: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Execution of Corporate Contracts and Instruments</w:t>
            </w:r>
          </w:p>
        </w:tc>
        <w:tc>
          <w:tcPr>
            <w:tcW w:w="6180" w:type="dxa"/>
            <w:vAlign w:val="bottom"/>
            <w:gridSpan w:val="2"/>
          </w:tcPr>
          <w:p>
            <w:pPr>
              <w:jc w:val="center"/>
              <w:ind w:left="5710"/>
              <w:spacing w:after="0"/>
              <w:rPr>
                <w:sz w:val="20"/>
                <w:szCs w:val="20"/>
                <w:color w:val="auto"/>
              </w:rPr>
            </w:pPr>
            <w:r>
              <w:rPr>
                <w:rFonts w:ascii="Times New Roman" w:cs="Times New Roman" w:eastAsia="Times New Roman" w:hAnsi="Times New Roman"/>
                <w:sz w:val="18"/>
                <w:szCs w:val="18"/>
                <w:color w:val="auto"/>
                <w:w w:val="99"/>
              </w:rPr>
              <w:t>21</w:t>
            </w:r>
          </w:p>
        </w:tc>
      </w:tr>
      <w:tr>
        <w:trPr>
          <w:trHeight w:val="229"/>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7.2</w:t>
            </w: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Certificates</w:t>
            </w:r>
          </w:p>
        </w:tc>
        <w:tc>
          <w:tcPr>
            <w:tcW w:w="6180" w:type="dxa"/>
            <w:vAlign w:val="bottom"/>
            <w:gridSpan w:val="2"/>
          </w:tcPr>
          <w:p>
            <w:pPr>
              <w:jc w:val="center"/>
              <w:ind w:left="5710"/>
              <w:spacing w:after="0"/>
              <w:rPr>
                <w:sz w:val="20"/>
                <w:szCs w:val="20"/>
                <w:color w:val="auto"/>
              </w:rPr>
            </w:pPr>
            <w:r>
              <w:rPr>
                <w:rFonts w:ascii="Times New Roman" w:cs="Times New Roman" w:eastAsia="Times New Roman" w:hAnsi="Times New Roman"/>
                <w:sz w:val="18"/>
                <w:szCs w:val="18"/>
                <w:color w:val="auto"/>
                <w:w w:val="99"/>
              </w:rPr>
              <w:t>21</w:t>
            </w:r>
          </w:p>
        </w:tc>
      </w:tr>
      <w:tr>
        <w:trPr>
          <w:trHeight w:val="229"/>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7.3</w:t>
            </w: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Designation of Certificates.</w:t>
            </w:r>
          </w:p>
        </w:tc>
        <w:tc>
          <w:tcPr>
            <w:tcW w:w="6180" w:type="dxa"/>
            <w:vAlign w:val="bottom"/>
            <w:gridSpan w:val="2"/>
          </w:tcPr>
          <w:p>
            <w:pPr>
              <w:jc w:val="center"/>
              <w:ind w:left="5710"/>
              <w:spacing w:after="0"/>
              <w:rPr>
                <w:sz w:val="20"/>
                <w:szCs w:val="20"/>
                <w:color w:val="auto"/>
              </w:rPr>
            </w:pPr>
            <w:r>
              <w:rPr>
                <w:rFonts w:ascii="Times New Roman" w:cs="Times New Roman" w:eastAsia="Times New Roman" w:hAnsi="Times New Roman"/>
                <w:sz w:val="18"/>
                <w:szCs w:val="18"/>
                <w:color w:val="auto"/>
                <w:w w:val="99"/>
              </w:rPr>
              <w:t>22</w:t>
            </w:r>
          </w:p>
        </w:tc>
      </w:tr>
      <w:tr>
        <w:trPr>
          <w:trHeight w:val="230"/>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7.4</w:t>
            </w: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Lost Certificates</w:t>
            </w:r>
          </w:p>
        </w:tc>
        <w:tc>
          <w:tcPr>
            <w:tcW w:w="6180" w:type="dxa"/>
            <w:vAlign w:val="bottom"/>
            <w:gridSpan w:val="2"/>
          </w:tcPr>
          <w:p>
            <w:pPr>
              <w:jc w:val="center"/>
              <w:ind w:left="5710"/>
              <w:spacing w:after="0"/>
              <w:rPr>
                <w:sz w:val="20"/>
                <w:szCs w:val="20"/>
                <w:color w:val="auto"/>
              </w:rPr>
            </w:pPr>
            <w:r>
              <w:rPr>
                <w:rFonts w:ascii="Times New Roman" w:cs="Times New Roman" w:eastAsia="Times New Roman" w:hAnsi="Times New Roman"/>
                <w:sz w:val="18"/>
                <w:szCs w:val="18"/>
                <w:color w:val="auto"/>
                <w:w w:val="99"/>
              </w:rPr>
              <w:t>22</w:t>
            </w:r>
          </w:p>
        </w:tc>
      </w:tr>
      <w:tr>
        <w:trPr>
          <w:trHeight w:val="229"/>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7.5</w:t>
            </w: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Without Certificates</w:t>
            </w:r>
          </w:p>
        </w:tc>
        <w:tc>
          <w:tcPr>
            <w:tcW w:w="6180" w:type="dxa"/>
            <w:vAlign w:val="bottom"/>
            <w:gridSpan w:val="2"/>
          </w:tcPr>
          <w:p>
            <w:pPr>
              <w:jc w:val="center"/>
              <w:ind w:left="5710"/>
              <w:spacing w:after="0"/>
              <w:rPr>
                <w:sz w:val="20"/>
                <w:szCs w:val="20"/>
                <w:color w:val="auto"/>
              </w:rPr>
            </w:pPr>
            <w:r>
              <w:rPr>
                <w:rFonts w:ascii="Times New Roman" w:cs="Times New Roman" w:eastAsia="Times New Roman" w:hAnsi="Times New Roman"/>
                <w:sz w:val="18"/>
                <w:szCs w:val="18"/>
                <w:color w:val="auto"/>
                <w:w w:val="99"/>
              </w:rPr>
              <w:t>22</w:t>
            </w:r>
          </w:p>
        </w:tc>
      </w:tr>
      <w:tr>
        <w:trPr>
          <w:trHeight w:val="230"/>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7.6</w:t>
            </w: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 Definitions</w:t>
            </w:r>
          </w:p>
        </w:tc>
        <w:tc>
          <w:tcPr>
            <w:tcW w:w="6180" w:type="dxa"/>
            <w:vAlign w:val="bottom"/>
            <w:gridSpan w:val="2"/>
          </w:tcPr>
          <w:p>
            <w:pPr>
              <w:jc w:val="center"/>
              <w:ind w:left="5710"/>
              <w:spacing w:after="0"/>
              <w:rPr>
                <w:sz w:val="20"/>
                <w:szCs w:val="20"/>
                <w:color w:val="auto"/>
              </w:rPr>
            </w:pPr>
            <w:r>
              <w:rPr>
                <w:rFonts w:ascii="Times New Roman" w:cs="Times New Roman" w:eastAsia="Times New Roman" w:hAnsi="Times New Roman"/>
                <w:sz w:val="18"/>
                <w:szCs w:val="18"/>
                <w:color w:val="auto"/>
                <w:w w:val="99"/>
              </w:rPr>
              <w:t>22</w:t>
            </w:r>
          </w:p>
        </w:tc>
      </w:tr>
      <w:tr>
        <w:trPr>
          <w:trHeight w:val="229"/>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7.7</w:t>
            </w: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w:t>
            </w:r>
          </w:p>
        </w:tc>
        <w:tc>
          <w:tcPr>
            <w:tcW w:w="6180" w:type="dxa"/>
            <w:vAlign w:val="bottom"/>
            <w:gridSpan w:val="2"/>
          </w:tcPr>
          <w:p>
            <w:pPr>
              <w:jc w:val="center"/>
              <w:ind w:left="5710"/>
              <w:spacing w:after="0"/>
              <w:rPr>
                <w:sz w:val="20"/>
                <w:szCs w:val="20"/>
                <w:color w:val="auto"/>
              </w:rPr>
            </w:pPr>
            <w:r>
              <w:rPr>
                <w:rFonts w:ascii="Times New Roman" w:cs="Times New Roman" w:eastAsia="Times New Roman" w:hAnsi="Times New Roman"/>
                <w:sz w:val="18"/>
                <w:szCs w:val="18"/>
                <w:color w:val="auto"/>
                <w:w w:val="99"/>
              </w:rPr>
              <w:t>22</w:t>
            </w:r>
          </w:p>
        </w:tc>
      </w:tr>
      <w:tr>
        <w:trPr>
          <w:trHeight w:val="229"/>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7.8</w:t>
            </w: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Year</w:t>
            </w:r>
          </w:p>
        </w:tc>
        <w:tc>
          <w:tcPr>
            <w:tcW w:w="6180" w:type="dxa"/>
            <w:vAlign w:val="bottom"/>
            <w:gridSpan w:val="2"/>
          </w:tcPr>
          <w:p>
            <w:pPr>
              <w:jc w:val="center"/>
              <w:ind w:left="5710"/>
              <w:spacing w:after="0"/>
              <w:rPr>
                <w:sz w:val="20"/>
                <w:szCs w:val="20"/>
                <w:color w:val="auto"/>
              </w:rPr>
            </w:pPr>
            <w:r>
              <w:rPr>
                <w:rFonts w:ascii="Times New Roman" w:cs="Times New Roman" w:eastAsia="Times New Roman" w:hAnsi="Times New Roman"/>
                <w:sz w:val="18"/>
                <w:szCs w:val="18"/>
                <w:color w:val="auto"/>
                <w:w w:val="99"/>
              </w:rPr>
              <w:t>23</w:t>
            </w:r>
          </w:p>
        </w:tc>
      </w:tr>
      <w:tr>
        <w:trPr>
          <w:trHeight w:val="230"/>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7.9</w:t>
            </w: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Seal</w:t>
            </w:r>
          </w:p>
        </w:tc>
        <w:tc>
          <w:tcPr>
            <w:tcW w:w="6180" w:type="dxa"/>
            <w:vAlign w:val="bottom"/>
            <w:gridSpan w:val="2"/>
          </w:tcPr>
          <w:p>
            <w:pPr>
              <w:jc w:val="center"/>
              <w:ind w:left="5710"/>
              <w:spacing w:after="0"/>
              <w:rPr>
                <w:sz w:val="20"/>
                <w:szCs w:val="20"/>
                <w:color w:val="auto"/>
              </w:rPr>
            </w:pPr>
            <w:r>
              <w:rPr>
                <w:rFonts w:ascii="Times New Roman" w:cs="Times New Roman" w:eastAsia="Times New Roman" w:hAnsi="Times New Roman"/>
                <w:sz w:val="18"/>
                <w:szCs w:val="18"/>
                <w:color w:val="auto"/>
                <w:w w:val="99"/>
              </w:rPr>
              <w:t>23</w:t>
            </w:r>
          </w:p>
        </w:tc>
      </w:tr>
      <w:tr>
        <w:trPr>
          <w:trHeight w:val="229"/>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7.10</w:t>
            </w:r>
          </w:p>
        </w:tc>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Transfer of Stock</w:t>
            </w:r>
          </w:p>
        </w:tc>
        <w:tc>
          <w:tcPr>
            <w:tcW w:w="6180" w:type="dxa"/>
            <w:vAlign w:val="bottom"/>
            <w:gridSpan w:val="2"/>
          </w:tcPr>
          <w:p>
            <w:pPr>
              <w:jc w:val="center"/>
              <w:ind w:left="5710"/>
              <w:spacing w:after="0"/>
              <w:rPr>
                <w:sz w:val="20"/>
                <w:szCs w:val="20"/>
                <w:color w:val="auto"/>
              </w:rPr>
            </w:pPr>
            <w:r>
              <w:rPr>
                <w:rFonts w:ascii="Times New Roman" w:cs="Times New Roman" w:eastAsia="Times New Roman" w:hAnsi="Times New Roman"/>
                <w:sz w:val="18"/>
                <w:szCs w:val="18"/>
                <w:color w:val="auto"/>
                <w:w w:val="99"/>
              </w:rPr>
              <w:t>23</w:t>
            </w:r>
          </w:p>
        </w:tc>
      </w:tr>
      <w:tr>
        <w:trPr>
          <w:trHeight w:val="229"/>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7.11</w:t>
            </w:r>
          </w:p>
        </w:tc>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Transfer Agreements</w:t>
            </w:r>
          </w:p>
        </w:tc>
        <w:tc>
          <w:tcPr>
            <w:tcW w:w="6180" w:type="dxa"/>
            <w:vAlign w:val="bottom"/>
            <w:gridSpan w:val="2"/>
          </w:tcPr>
          <w:p>
            <w:pPr>
              <w:jc w:val="center"/>
              <w:ind w:left="5710"/>
              <w:spacing w:after="0"/>
              <w:rPr>
                <w:sz w:val="20"/>
                <w:szCs w:val="20"/>
                <w:color w:val="auto"/>
              </w:rPr>
            </w:pPr>
            <w:r>
              <w:rPr>
                <w:rFonts w:ascii="Times New Roman" w:cs="Times New Roman" w:eastAsia="Times New Roman" w:hAnsi="Times New Roman"/>
                <w:sz w:val="18"/>
                <w:szCs w:val="18"/>
                <w:color w:val="auto"/>
                <w:w w:val="99"/>
              </w:rPr>
              <w:t>23</w:t>
            </w:r>
          </w:p>
        </w:tc>
      </w:tr>
      <w:tr>
        <w:trPr>
          <w:trHeight w:val="230"/>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7.12</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Registered Stockholders</w:t>
            </w:r>
          </w:p>
        </w:tc>
        <w:tc>
          <w:tcPr>
            <w:tcW w:w="6180" w:type="dxa"/>
            <w:vAlign w:val="bottom"/>
            <w:gridSpan w:val="2"/>
          </w:tcPr>
          <w:p>
            <w:pPr>
              <w:jc w:val="center"/>
              <w:ind w:left="5710"/>
              <w:spacing w:after="0"/>
              <w:rPr>
                <w:sz w:val="20"/>
                <w:szCs w:val="20"/>
                <w:color w:val="auto"/>
              </w:rPr>
            </w:pPr>
            <w:r>
              <w:rPr>
                <w:rFonts w:ascii="Times New Roman" w:cs="Times New Roman" w:eastAsia="Times New Roman" w:hAnsi="Times New Roman"/>
                <w:sz w:val="18"/>
                <w:szCs w:val="18"/>
                <w:color w:val="auto"/>
                <w:w w:val="99"/>
              </w:rPr>
              <w:t>23</w:t>
            </w:r>
          </w:p>
        </w:tc>
      </w:tr>
      <w:tr>
        <w:trPr>
          <w:trHeight w:val="234"/>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7.13</w:t>
            </w:r>
          </w:p>
        </w:tc>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 of Notice</w:t>
            </w:r>
          </w:p>
        </w:tc>
        <w:tc>
          <w:tcPr>
            <w:tcW w:w="6180" w:type="dxa"/>
            <w:vAlign w:val="bottom"/>
            <w:gridSpan w:val="2"/>
          </w:tcPr>
          <w:p>
            <w:pPr>
              <w:jc w:val="center"/>
              <w:ind w:left="5710"/>
              <w:spacing w:after="0"/>
              <w:rPr>
                <w:sz w:val="20"/>
                <w:szCs w:val="20"/>
                <w:color w:val="auto"/>
              </w:rPr>
            </w:pPr>
            <w:r>
              <w:rPr>
                <w:rFonts w:ascii="Times New Roman" w:cs="Times New Roman" w:eastAsia="Times New Roman" w:hAnsi="Times New Roman"/>
                <w:sz w:val="18"/>
                <w:szCs w:val="18"/>
                <w:color w:val="auto"/>
                <w:w w:val="99"/>
              </w:rPr>
              <w:t>23</w:t>
            </w:r>
          </w:p>
        </w:tc>
      </w:tr>
      <w:tr>
        <w:trPr>
          <w:trHeight w:val="279"/>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 Notice</w:t>
            </w:r>
          </w:p>
        </w:tc>
        <w:tc>
          <w:tcPr>
            <w:tcW w:w="6180" w:type="dxa"/>
            <w:vAlign w:val="bottom"/>
            <w:gridSpan w:val="2"/>
          </w:tcPr>
          <w:p>
            <w:pPr>
              <w:jc w:val="center"/>
              <w:ind w:left="5710"/>
              <w:spacing w:after="0"/>
              <w:rPr>
                <w:sz w:val="20"/>
                <w:szCs w:val="20"/>
                <w:color w:val="auto"/>
              </w:rPr>
            </w:pPr>
            <w:r>
              <w:rPr>
                <w:rFonts w:ascii="Times New Roman" w:cs="Times New Roman" w:eastAsia="Times New Roman" w:hAnsi="Times New Roman"/>
                <w:sz w:val="18"/>
                <w:szCs w:val="18"/>
                <w:color w:val="auto"/>
                <w:w w:val="99"/>
              </w:rPr>
              <w:t>24</w:t>
            </w:r>
          </w:p>
        </w:tc>
      </w:tr>
      <w:tr>
        <w:trPr>
          <w:trHeight w:val="234"/>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8.1</w:t>
            </w: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Delivery of Notice; Notice by Electronic Transmission</w:t>
            </w:r>
          </w:p>
        </w:tc>
        <w:tc>
          <w:tcPr>
            <w:tcW w:w="6180" w:type="dxa"/>
            <w:vAlign w:val="bottom"/>
            <w:gridSpan w:val="2"/>
          </w:tcPr>
          <w:p>
            <w:pPr>
              <w:jc w:val="center"/>
              <w:ind w:left="5710"/>
              <w:spacing w:after="0"/>
              <w:rPr>
                <w:sz w:val="20"/>
                <w:szCs w:val="20"/>
                <w:color w:val="auto"/>
              </w:rPr>
            </w:pPr>
            <w:r>
              <w:rPr>
                <w:rFonts w:ascii="Times New Roman" w:cs="Times New Roman" w:eastAsia="Times New Roman" w:hAnsi="Times New Roman"/>
                <w:sz w:val="18"/>
                <w:szCs w:val="18"/>
                <w:color w:val="auto"/>
                <w:w w:val="99"/>
              </w:rPr>
              <w:t>24</w:t>
            </w:r>
          </w:p>
        </w:tc>
      </w:tr>
      <w:tr>
        <w:trPr>
          <w:trHeight w:val="279"/>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 Indemnification</w:t>
            </w:r>
          </w:p>
        </w:tc>
        <w:tc>
          <w:tcPr>
            <w:tcW w:w="6180" w:type="dxa"/>
            <w:vAlign w:val="bottom"/>
            <w:gridSpan w:val="2"/>
          </w:tcPr>
          <w:p>
            <w:pPr>
              <w:jc w:val="center"/>
              <w:ind w:left="5710"/>
              <w:spacing w:after="0"/>
              <w:rPr>
                <w:sz w:val="20"/>
                <w:szCs w:val="20"/>
                <w:color w:val="auto"/>
              </w:rPr>
            </w:pPr>
            <w:r>
              <w:rPr>
                <w:rFonts w:ascii="Times New Roman" w:cs="Times New Roman" w:eastAsia="Times New Roman" w:hAnsi="Times New Roman"/>
                <w:sz w:val="18"/>
                <w:szCs w:val="18"/>
                <w:color w:val="auto"/>
                <w:w w:val="99"/>
              </w:rPr>
              <w:t>25</w:t>
            </w:r>
          </w:p>
        </w:tc>
      </w:tr>
      <w:tr>
        <w:trPr>
          <w:trHeight w:val="230"/>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9.1</w:t>
            </w: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 of Directors and Officers</w:t>
            </w:r>
          </w:p>
        </w:tc>
        <w:tc>
          <w:tcPr>
            <w:tcW w:w="6180" w:type="dxa"/>
            <w:vAlign w:val="bottom"/>
            <w:gridSpan w:val="2"/>
          </w:tcPr>
          <w:p>
            <w:pPr>
              <w:jc w:val="center"/>
              <w:ind w:left="5710"/>
              <w:spacing w:after="0"/>
              <w:rPr>
                <w:sz w:val="20"/>
                <w:szCs w:val="20"/>
                <w:color w:val="auto"/>
              </w:rPr>
            </w:pPr>
            <w:r>
              <w:rPr>
                <w:rFonts w:ascii="Times New Roman" w:cs="Times New Roman" w:eastAsia="Times New Roman" w:hAnsi="Times New Roman"/>
                <w:sz w:val="18"/>
                <w:szCs w:val="18"/>
                <w:color w:val="auto"/>
                <w:w w:val="99"/>
              </w:rPr>
              <w:t>25</w:t>
            </w:r>
          </w:p>
        </w:tc>
      </w:tr>
      <w:tr>
        <w:trPr>
          <w:trHeight w:val="229"/>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9.2</w:t>
            </w: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 of Others</w:t>
            </w:r>
          </w:p>
        </w:tc>
        <w:tc>
          <w:tcPr>
            <w:tcW w:w="6180" w:type="dxa"/>
            <w:vAlign w:val="bottom"/>
            <w:gridSpan w:val="2"/>
          </w:tcPr>
          <w:p>
            <w:pPr>
              <w:jc w:val="center"/>
              <w:ind w:left="5710"/>
              <w:spacing w:after="0"/>
              <w:rPr>
                <w:sz w:val="20"/>
                <w:szCs w:val="20"/>
                <w:color w:val="auto"/>
              </w:rPr>
            </w:pPr>
            <w:r>
              <w:rPr>
                <w:rFonts w:ascii="Times New Roman" w:cs="Times New Roman" w:eastAsia="Times New Roman" w:hAnsi="Times New Roman"/>
                <w:sz w:val="18"/>
                <w:szCs w:val="18"/>
                <w:color w:val="auto"/>
                <w:w w:val="99"/>
              </w:rPr>
              <w:t>25</w:t>
            </w:r>
          </w:p>
        </w:tc>
      </w:tr>
      <w:tr>
        <w:trPr>
          <w:trHeight w:val="230"/>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9.3</w:t>
            </w: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Prepayment of Expenses</w:t>
            </w:r>
          </w:p>
        </w:tc>
        <w:tc>
          <w:tcPr>
            <w:tcW w:w="6180" w:type="dxa"/>
            <w:vAlign w:val="bottom"/>
            <w:gridSpan w:val="2"/>
          </w:tcPr>
          <w:p>
            <w:pPr>
              <w:jc w:val="center"/>
              <w:ind w:left="5710"/>
              <w:spacing w:after="0"/>
              <w:rPr>
                <w:sz w:val="20"/>
                <w:szCs w:val="20"/>
                <w:color w:val="auto"/>
              </w:rPr>
            </w:pPr>
            <w:r>
              <w:rPr>
                <w:rFonts w:ascii="Times New Roman" w:cs="Times New Roman" w:eastAsia="Times New Roman" w:hAnsi="Times New Roman"/>
                <w:sz w:val="18"/>
                <w:szCs w:val="18"/>
                <w:color w:val="auto"/>
                <w:w w:val="99"/>
              </w:rPr>
              <w:t>25</w:t>
            </w:r>
          </w:p>
        </w:tc>
      </w:tr>
      <w:tr>
        <w:trPr>
          <w:trHeight w:val="230"/>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9.4</w:t>
            </w: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Determination; Claim</w:t>
            </w:r>
          </w:p>
        </w:tc>
        <w:tc>
          <w:tcPr>
            <w:tcW w:w="6180" w:type="dxa"/>
            <w:vAlign w:val="bottom"/>
            <w:gridSpan w:val="2"/>
          </w:tcPr>
          <w:p>
            <w:pPr>
              <w:jc w:val="center"/>
              <w:ind w:left="5710"/>
              <w:spacing w:after="0"/>
              <w:rPr>
                <w:sz w:val="20"/>
                <w:szCs w:val="20"/>
                <w:color w:val="auto"/>
              </w:rPr>
            </w:pPr>
            <w:r>
              <w:rPr>
                <w:rFonts w:ascii="Times New Roman" w:cs="Times New Roman" w:eastAsia="Times New Roman" w:hAnsi="Times New Roman"/>
                <w:sz w:val="18"/>
                <w:szCs w:val="18"/>
                <w:color w:val="auto"/>
                <w:w w:val="99"/>
              </w:rPr>
              <w:t>25</w:t>
            </w:r>
          </w:p>
        </w:tc>
      </w:tr>
      <w:tr>
        <w:trPr>
          <w:trHeight w:val="230"/>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9.5</w:t>
            </w: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Non-Exclusivity of Rights</w:t>
            </w:r>
          </w:p>
        </w:tc>
        <w:tc>
          <w:tcPr>
            <w:tcW w:w="6180" w:type="dxa"/>
            <w:vAlign w:val="bottom"/>
            <w:gridSpan w:val="2"/>
          </w:tcPr>
          <w:p>
            <w:pPr>
              <w:jc w:val="center"/>
              <w:ind w:left="5710"/>
              <w:spacing w:after="0"/>
              <w:rPr>
                <w:sz w:val="20"/>
                <w:szCs w:val="20"/>
                <w:color w:val="auto"/>
              </w:rPr>
            </w:pPr>
            <w:r>
              <w:rPr>
                <w:rFonts w:ascii="Times New Roman" w:cs="Times New Roman" w:eastAsia="Times New Roman" w:hAnsi="Times New Roman"/>
                <w:sz w:val="18"/>
                <w:szCs w:val="18"/>
                <w:color w:val="auto"/>
                <w:w w:val="99"/>
              </w:rPr>
              <w:t>26</w:t>
            </w:r>
          </w:p>
        </w:tc>
      </w:tr>
      <w:tr>
        <w:trPr>
          <w:trHeight w:val="229"/>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9.6</w:t>
            </w: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Insurance</w:t>
            </w:r>
          </w:p>
        </w:tc>
        <w:tc>
          <w:tcPr>
            <w:tcW w:w="6180" w:type="dxa"/>
            <w:vAlign w:val="bottom"/>
            <w:gridSpan w:val="2"/>
          </w:tcPr>
          <w:p>
            <w:pPr>
              <w:jc w:val="center"/>
              <w:ind w:left="5710"/>
              <w:spacing w:after="0"/>
              <w:rPr>
                <w:sz w:val="20"/>
                <w:szCs w:val="20"/>
                <w:color w:val="auto"/>
              </w:rPr>
            </w:pPr>
            <w:r>
              <w:rPr>
                <w:rFonts w:ascii="Times New Roman" w:cs="Times New Roman" w:eastAsia="Times New Roman" w:hAnsi="Times New Roman"/>
                <w:sz w:val="18"/>
                <w:szCs w:val="18"/>
                <w:color w:val="auto"/>
                <w:w w:val="99"/>
              </w:rPr>
              <w:t>26</w:t>
            </w:r>
          </w:p>
        </w:tc>
      </w:tr>
      <w:tr>
        <w:trPr>
          <w:trHeight w:val="230"/>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9.7</w:t>
            </w: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Indemnification</w:t>
            </w:r>
          </w:p>
        </w:tc>
        <w:tc>
          <w:tcPr>
            <w:tcW w:w="6180" w:type="dxa"/>
            <w:vAlign w:val="bottom"/>
            <w:gridSpan w:val="2"/>
          </w:tcPr>
          <w:p>
            <w:pPr>
              <w:jc w:val="center"/>
              <w:ind w:left="5710"/>
              <w:spacing w:after="0"/>
              <w:rPr>
                <w:sz w:val="20"/>
                <w:szCs w:val="20"/>
                <w:color w:val="auto"/>
              </w:rPr>
            </w:pPr>
            <w:r>
              <w:rPr>
                <w:rFonts w:ascii="Times New Roman" w:cs="Times New Roman" w:eastAsia="Times New Roman" w:hAnsi="Times New Roman"/>
                <w:sz w:val="18"/>
                <w:szCs w:val="18"/>
                <w:color w:val="auto"/>
                <w:w w:val="99"/>
              </w:rPr>
              <w:t>26</w:t>
            </w:r>
          </w:p>
        </w:tc>
      </w:tr>
      <w:tr>
        <w:trPr>
          <w:trHeight w:val="230"/>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9.8</w:t>
            </w: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Continuation of Indemnification</w:t>
            </w:r>
          </w:p>
        </w:tc>
        <w:tc>
          <w:tcPr>
            <w:tcW w:w="6180" w:type="dxa"/>
            <w:vAlign w:val="bottom"/>
            <w:gridSpan w:val="2"/>
          </w:tcPr>
          <w:p>
            <w:pPr>
              <w:jc w:val="center"/>
              <w:ind w:left="5710"/>
              <w:spacing w:after="0"/>
              <w:rPr>
                <w:sz w:val="20"/>
                <w:szCs w:val="20"/>
                <w:color w:val="auto"/>
              </w:rPr>
            </w:pPr>
            <w:r>
              <w:rPr>
                <w:rFonts w:ascii="Times New Roman" w:cs="Times New Roman" w:eastAsia="Times New Roman" w:hAnsi="Times New Roman"/>
                <w:sz w:val="18"/>
                <w:szCs w:val="18"/>
                <w:color w:val="auto"/>
                <w:w w:val="99"/>
              </w:rPr>
              <w:t>26</w:t>
            </w:r>
          </w:p>
        </w:tc>
      </w:tr>
      <w:tr>
        <w:trPr>
          <w:trHeight w:val="234"/>
        </w:trPr>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9.9</w:t>
            </w: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or Repeal; Interpretation</w:t>
            </w:r>
          </w:p>
        </w:tc>
        <w:tc>
          <w:tcPr>
            <w:tcW w:w="6180" w:type="dxa"/>
            <w:vAlign w:val="bottom"/>
            <w:gridSpan w:val="2"/>
          </w:tcPr>
          <w:p>
            <w:pPr>
              <w:jc w:val="center"/>
              <w:ind w:left="5710"/>
              <w:spacing w:after="0"/>
              <w:rPr>
                <w:sz w:val="20"/>
                <w:szCs w:val="20"/>
                <w:color w:val="auto"/>
              </w:rPr>
            </w:pPr>
            <w:r>
              <w:rPr>
                <w:rFonts w:ascii="Times New Roman" w:cs="Times New Roman" w:eastAsia="Times New Roman" w:hAnsi="Times New Roman"/>
                <w:sz w:val="18"/>
                <w:szCs w:val="18"/>
                <w:color w:val="auto"/>
                <w:w w:val="99"/>
              </w:rPr>
              <w:t>26</w:t>
            </w:r>
          </w:p>
        </w:tc>
      </w:tr>
      <w:tr>
        <w:trPr>
          <w:trHeight w:val="283"/>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 Amendments</w:t>
            </w:r>
          </w:p>
        </w:tc>
        <w:tc>
          <w:tcPr>
            <w:tcW w:w="6180" w:type="dxa"/>
            <w:vAlign w:val="bottom"/>
            <w:gridSpan w:val="2"/>
          </w:tcPr>
          <w:p>
            <w:pPr>
              <w:jc w:val="center"/>
              <w:ind w:left="5710"/>
              <w:spacing w:after="0"/>
              <w:rPr>
                <w:sz w:val="20"/>
                <w:szCs w:val="20"/>
                <w:color w:val="auto"/>
              </w:rPr>
            </w:pPr>
            <w:r>
              <w:rPr>
                <w:rFonts w:ascii="Times New Roman" w:cs="Times New Roman" w:eastAsia="Times New Roman" w:hAnsi="Times New Roman"/>
                <w:sz w:val="18"/>
                <w:szCs w:val="18"/>
                <w:color w:val="auto"/>
                <w:w w:val="99"/>
              </w:rPr>
              <w:t>27</w:t>
            </w:r>
          </w:p>
        </w:tc>
      </w:tr>
      <w:tr>
        <w:trPr>
          <w:trHeight w:val="284"/>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 Definitions</w:t>
            </w:r>
          </w:p>
        </w:tc>
        <w:tc>
          <w:tcPr>
            <w:tcW w:w="6180" w:type="dxa"/>
            <w:vAlign w:val="bottom"/>
            <w:gridSpan w:val="2"/>
          </w:tcPr>
          <w:p>
            <w:pPr>
              <w:jc w:val="center"/>
              <w:ind w:left="5710"/>
              <w:spacing w:after="0"/>
              <w:rPr>
                <w:sz w:val="20"/>
                <w:szCs w:val="20"/>
                <w:color w:val="auto"/>
              </w:rPr>
            </w:pPr>
            <w:r>
              <w:rPr>
                <w:rFonts w:ascii="Times New Roman" w:cs="Times New Roman" w:eastAsia="Times New Roman" w:hAnsi="Times New Roman"/>
                <w:sz w:val="18"/>
                <w:szCs w:val="18"/>
                <w:color w:val="auto"/>
                <w:w w:val="99"/>
              </w:rPr>
              <w:t>27</w:t>
            </w:r>
          </w:p>
        </w:tc>
      </w:tr>
    </w:tbl>
    <w:p>
      <w:pPr>
        <w:sectPr>
          <w:pgSz w:w="11900" w:h="16838" w:orient="portrait"/>
          <w:cols w:equalWidth="0" w:num="1">
            <w:col w:w="10980"/>
          </w:cols>
          <w:pgMar w:left="340" w:top="1405" w:right="57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Bylaws of</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Fervo Energy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51435</wp:posOffset>
            </wp:positionV>
            <wp:extent cx="28371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37180" cy="1714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 - Corporate Offices</w:t>
      </w:r>
    </w:p>
    <w:p>
      <w:pPr>
        <w:spacing w:after="0" w:line="220"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u w:val="single" w:color="auto"/>
          <w:color w:val="auto"/>
        </w:rPr>
        <w:t>Registered Office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address of the registered office of Fervo Energy Company (the “</w:t>
      </w:r>
      <w:r>
        <w:rPr>
          <w:rFonts w:ascii="Times New Roman" w:cs="Times New Roman" w:eastAsia="Times New Roman" w:hAnsi="Times New Roman"/>
          <w:sz w:val="20"/>
          <w:szCs w:val="20"/>
          <w:u w:val="single" w:color="auto"/>
          <w:color w:val="auto"/>
        </w:rPr>
        <w:t>Corporation</w:t>
      </w:r>
      <w:r>
        <w:rPr>
          <w:rFonts w:ascii="Times New Roman" w:cs="Times New Roman" w:eastAsia="Times New Roman" w:hAnsi="Times New Roman"/>
          <w:sz w:val="20"/>
          <w:szCs w:val="20"/>
          <w:color w:val="auto"/>
        </w:rPr>
        <w:t>”) in the State of Delaware, and the name of its registered agent at such address, shall be as set forth in the Corporation’s certificate of incorporation, as the same may be amended and/or restated from time to time (the “</w:t>
      </w:r>
      <w:r>
        <w:rPr>
          <w:rFonts w:ascii="Times New Roman" w:cs="Times New Roman" w:eastAsia="Times New Roman" w:hAnsi="Times New Roman"/>
          <w:sz w:val="20"/>
          <w:szCs w:val="20"/>
          <w:u w:val="single" w:color="auto"/>
          <w:color w:val="auto"/>
        </w:rPr>
        <w:t>Certificate of Incorporation</w:t>
      </w:r>
      <w:r>
        <w:rPr>
          <w:rFonts w:ascii="Times New Roman" w:cs="Times New Roman" w:eastAsia="Times New Roman" w:hAnsi="Times New Roman"/>
          <w:sz w:val="20"/>
          <w:szCs w:val="20"/>
          <w:color w:val="auto"/>
        </w:rPr>
        <w:t>”).</w:t>
      </w:r>
    </w:p>
    <w:p>
      <w:pPr>
        <w:spacing w:after="0" w:line="7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u w:val="single" w:color="auto"/>
          <w:color w:val="auto"/>
        </w:rPr>
        <w:t>Other Offices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The Corporation may have additional offices at any place or places, within or outside the State of Delaware, as the Corporation’s board of directors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may from time to time establish or as the business of the Corporation may require.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 - Meetings of Stockholders</w:t>
      </w:r>
    </w:p>
    <w:p>
      <w:pPr>
        <w:spacing w:after="0" w:line="23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u w:val="single" w:color="auto"/>
          <w:color w:val="auto"/>
        </w:rPr>
        <w:t>Place of Meetings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Times New Roman" w:cs="Times New Roman" w:eastAsia="Times New Roman" w:hAnsi="Times New Roman"/>
          <w:sz w:val="20"/>
          <w:szCs w:val="20"/>
          <w:u w:val="single" w:color="auto"/>
          <w:color w:val="auto"/>
        </w:rPr>
        <w:t>DGCL</w:t>
      </w:r>
      <w:r>
        <w:rPr>
          <w:rFonts w:ascii="Times New Roman" w:cs="Times New Roman" w:eastAsia="Times New Roman" w:hAnsi="Times New Roman"/>
          <w:sz w:val="20"/>
          <w:szCs w:val="20"/>
          <w:color w:val="auto"/>
        </w:rPr>
        <w:t>”). In the absence of any such designation or determination, stockholders’ meetings shall be held at the Corporation’s principal executive office.</w:t>
      </w:r>
    </w:p>
    <w:p>
      <w:pPr>
        <w:spacing w:after="0" w:line="7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u w:val="single" w:color="auto"/>
          <w:color w:val="auto"/>
        </w:rPr>
        <w:t>Annual Meeting</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Board shall designate the date and time of the annual meeting of stockholders. At the annual meeting of stockholders, directors shall be elected and other proper business properly brought before the meeting in accordance with Section 2.4 of these bylaws may be transacted. The Board may postpone, reschedule or cancel any previously scheduled annual meeting of stockholders.</w:t>
      </w:r>
    </w:p>
    <w:p>
      <w:pPr>
        <w:spacing w:after="0" w:line="60"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u w:val="single" w:color="auto"/>
          <w:color w:val="auto"/>
        </w:rPr>
        <w:t>Special Meeting</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Special meetings of stockholders may be called only by such persons and only in such manner as set forth in the Certificate of Incorporation.</w:t>
      </w:r>
    </w:p>
    <w:p>
      <w:pPr>
        <w:spacing w:after="0" w:line="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No business may be transacted at any special meeting of stockholders other than the business specified in the notice of such meeting.</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Board may postpone, reschedule or cancel any previously scheduled special meeting of stockholders.</w:t>
      </w:r>
    </w:p>
    <w:p>
      <w:pPr>
        <w:spacing w:after="0" w:line="9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19"/>
          <w:szCs w:val="19"/>
          <w:u w:val="single" w:color="auto"/>
          <w:color w:val="auto"/>
        </w:rPr>
        <w:t>Notice of Business to be Brought before a Meeting.</w:t>
      </w:r>
    </w:p>
    <w:p>
      <w:pPr>
        <w:spacing w:after="0" w:line="229" w:lineRule="exact"/>
        <w:rPr>
          <w:sz w:val="20"/>
          <w:szCs w:val="20"/>
          <w:color w:val="auto"/>
        </w:rPr>
      </w:pPr>
    </w:p>
    <w:p>
      <w:pPr>
        <w:jc w:val="both"/>
        <w:ind w:right="20" w:firstLine="656"/>
        <w:spacing w:after="0" w:line="261" w:lineRule="auto"/>
        <w:tabs>
          <w:tab w:leader="none" w:pos="107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 annual meeting of the stockholders, only such business shall be conducted as shall have been properly brought before the meeting. To be properly brought before an annual meeting, business must be (i) specified in a notice of meeting given by or at the direction of the Board of Directors, (ii) if not specified in a notice of meeting, otherwise brought before the meeting by or at the direction of</w:t>
      </w:r>
    </w:p>
    <w:p>
      <w:pPr>
        <w:sectPr>
          <w:pgSz w:w="11900" w:h="16838" w:orient="portrait"/>
          <w:cols w:equalWidth="0" w:num="1">
            <w:col w:w="11240"/>
          </w:cols>
          <w:pgMar w:left="320" w:top="1409" w:right="339" w:bottom="1440" w:gutter="0" w:footer="0" w:header="0"/>
        </w:sectPr>
      </w:pPr>
    </w:p>
    <w:bookmarkStart w:id="23" w:name="page24"/>
    <w:bookmarkEnd w:id="23"/>
    <w:p>
      <w:pPr>
        <w:jc w:val="both"/>
        <w:spacing w:after="0" w:line="267" w:lineRule="auto"/>
        <w:rPr>
          <w:sz w:val="20"/>
          <w:szCs w:val="20"/>
          <w:color w:val="auto"/>
        </w:rPr>
      </w:pPr>
      <w:r>
        <w:rPr>
          <w:rFonts w:ascii="Times New Roman" w:cs="Times New Roman" w:eastAsia="Times New Roman" w:hAnsi="Times New Roman"/>
          <w:sz w:val="19"/>
          <w:szCs w:val="19"/>
          <w:color w:val="auto"/>
        </w:rPr>
        <w:t>the Board of Directors or the Chair of the Board or (iii) otherwise properly brought before the meeting by a stockholder present in person who (A) (1) was a record owner of shares of capital stock of the Corporation both at the time of giving the notice provided for in this Section 2.4 and at the time of the meeting, (2) is entitled to vote at the meeting, and (3) has complied with this Section 2.4 in all applicable respects or</w:t>
      </w:r>
    </w:p>
    <w:p>
      <w:pPr>
        <w:spacing w:after="0" w:line="2" w:lineRule="exact"/>
        <w:rPr>
          <w:sz w:val="20"/>
          <w:szCs w:val="20"/>
          <w:color w:val="auto"/>
        </w:rPr>
      </w:pPr>
    </w:p>
    <w:p>
      <w:pPr>
        <w:jc w:val="both"/>
        <w:ind w:firstLine="8"/>
        <w:spacing w:after="0" w:line="249" w:lineRule="auto"/>
        <w:tabs>
          <w:tab w:leader="none" w:pos="32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properly made such proposal in accordance with Rule 14a-8 under the Securities Exchange Act of 1934, as amended, and the rules and regulations thereunder (as so amended and inclusive of such rules and regulations,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The foregoing clause (iii) shall be the exclusive means for a stockholder to propose business to be brought before an annual meeting of the stockholders. The only matters that may be brought before a special meeting are the matters specified in the notice of meeting given by or at the direction of the person calling the meeting pursuant to Section 3.7, and stockholders shall not be permitted to propose business to be brought before a special meeting of the stockholders. For purposes of this Section 2.4, “</w:t>
      </w:r>
      <w:r>
        <w:rPr>
          <w:rFonts w:ascii="Times New Roman" w:cs="Times New Roman" w:eastAsia="Times New Roman" w:hAnsi="Times New Roman"/>
          <w:sz w:val="20"/>
          <w:szCs w:val="20"/>
          <w:u w:val="single" w:color="auto"/>
          <w:color w:val="auto"/>
        </w:rPr>
        <w:t>present in person</w:t>
      </w:r>
      <w:r>
        <w:rPr>
          <w:rFonts w:ascii="Times New Roman" w:cs="Times New Roman" w:eastAsia="Times New Roman" w:hAnsi="Times New Roman"/>
          <w:sz w:val="20"/>
          <w:szCs w:val="20"/>
          <w:color w:val="auto"/>
        </w:rPr>
        <w:t>” shall mean that the stockholder proposing that the business be brought before the annual meeting of the Corporation, or a qualified representative of such proposing stockholder, appear at such annual meeting, either in person or by means of remote communication. A “</w:t>
      </w:r>
      <w:r>
        <w:rPr>
          <w:rFonts w:ascii="Times New Roman" w:cs="Times New Roman" w:eastAsia="Times New Roman" w:hAnsi="Times New Roman"/>
          <w:sz w:val="20"/>
          <w:szCs w:val="20"/>
          <w:u w:val="single" w:color="auto"/>
          <w:color w:val="auto"/>
        </w:rPr>
        <w:t>qualified representative</w:t>
      </w:r>
      <w:r>
        <w:rPr>
          <w:rFonts w:ascii="Times New Roman" w:cs="Times New Roman" w:eastAsia="Times New Roman" w:hAnsi="Times New Roman"/>
          <w:sz w:val="20"/>
          <w:szCs w:val="20"/>
          <w:color w:val="auto"/>
        </w:rPr>
        <w:t>”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or before the meeting of stockholders in writing or by electronic transmission. Stockholders seeking to nominate persons for election to the Board of Directors must comply with Section 2.5 and Section 2.6, and this Section 2.4 shall not be applicable to nominations except as expressly provided in Section 2.5 and Section 2.6.</w:t>
      </w:r>
    </w:p>
    <w:p>
      <w:pPr>
        <w:spacing w:after="0" w:line="73" w:lineRule="exact"/>
        <w:rPr>
          <w:rFonts w:ascii="Times New Roman" w:cs="Times New Roman" w:eastAsia="Times New Roman" w:hAnsi="Times New Roman"/>
          <w:sz w:val="20"/>
          <w:szCs w:val="20"/>
          <w:color w:val="auto"/>
        </w:rPr>
      </w:pPr>
    </w:p>
    <w:p>
      <w:pPr>
        <w:ind w:left="1160" w:hanging="504"/>
        <w:spacing w:after="0"/>
        <w:tabs>
          <w:tab w:leader="none" w:pos="116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qualification, for business to be properly brought before an annual meeting by a stockholder, the stockholder must</w:t>
      </w:r>
    </w:p>
    <w:p>
      <w:pPr>
        <w:spacing w:after="0" w:line="28" w:lineRule="exact"/>
        <w:rPr>
          <w:rFonts w:ascii="Times New Roman" w:cs="Times New Roman" w:eastAsia="Times New Roman" w:hAnsi="Times New Roman"/>
          <w:sz w:val="20"/>
          <w:szCs w:val="20"/>
          <w:color w:val="auto"/>
        </w:rPr>
      </w:pPr>
    </w:p>
    <w:p>
      <w:pPr>
        <w:jc w:val="both"/>
        <w:spacing w:after="0" w:line="23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provide Timely Notice (as defined below) thereof in writing and in proper form to the Secretary of the Corporation and (ii) provide any updates or supplements to such notice at the times and in the forms required by this Section 2.4. To be timely, a stockholder’s notice must be delivered to, or mailed and received at, the principal executive offices of the Corporation not less than ninety (90) days nor more than one hundred twenty (120) days prior to the one-year anniversary of the preceding year’s annual meeting which, in the case of the first annual meeting of stockholders following the closing of the Corporation’s initial underwritten public offering of common stock, the date of the preceding year’s annual meeting shall be deemed to be May 24, 2027;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if the date of the annual meeting is more than thirty (30) days before or more than sixty (60) days after such anniversary date, notice by the stockholder to be timely must be so delivered, or mailed and received, not more than the hundred twentieth (120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day prior to such annual meeting and not later than (i) the ninetieth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day prior to such annual meeting or, (ii) if later, the tenth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day following the day on which public disclosure of the date of such annual meeting was first made by the Corporation (such notice within such time periods, “</w:t>
      </w:r>
      <w:r>
        <w:rPr>
          <w:rFonts w:ascii="Times New Roman" w:cs="Times New Roman" w:eastAsia="Times New Roman" w:hAnsi="Times New Roman"/>
          <w:sz w:val="20"/>
          <w:szCs w:val="20"/>
          <w:u w:val="single" w:color="auto"/>
          <w:color w:val="auto"/>
        </w:rPr>
        <w:t>Timely Notice</w:t>
      </w:r>
      <w:r>
        <w:rPr>
          <w:rFonts w:ascii="Times New Roman" w:cs="Times New Roman" w:eastAsia="Times New Roman" w:hAnsi="Times New Roman"/>
          <w:sz w:val="20"/>
          <w:szCs w:val="20"/>
          <w:color w:val="auto"/>
        </w:rPr>
        <w:t>”). In no event shall any adjournment or postponement of an annual meeting or the announcement thereof commence a new time period (or extend any time period) for the giving of Timely Notice as described above.</w:t>
      </w:r>
    </w:p>
    <w:p>
      <w:pPr>
        <w:spacing w:after="0" w:line="102"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be in proper form for purposes of this Section 2.4, a stockholder’s notice to the Secretary shall set forth:</w:t>
      </w:r>
    </w:p>
    <w:p>
      <w:pPr>
        <w:spacing w:after="0" w:line="107"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770" w:val="left"/>
        </w:tabs>
        <w:numPr>
          <w:ilvl w:val="2"/>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each Proposing Person (as defined below), (A) the name and address of such Proposing Person (including, if applicable, the name and address that appear on the Corporation’s books and records), (B) the class or series and number of shares of capital stock of the Corporation that are, directly or indirectly, owned of record or beneficially owned (within the meaning of Rule 13d-3 under the Exchange Act) by such Proposing Person, except that such</w:t>
      </w:r>
    </w:p>
    <w:p>
      <w:pPr>
        <w:sectPr>
          <w:pgSz w:w="11900" w:h="16838" w:orient="portrait"/>
          <w:cols w:equalWidth="0" w:num="1">
            <w:col w:w="11240"/>
          </w:cols>
          <w:pgMar w:left="320" w:top="1413" w:right="339" w:bottom="1440" w:gutter="0" w:footer="0" w:header="0"/>
        </w:sectPr>
      </w:pPr>
    </w:p>
    <w:bookmarkStart w:id="24" w:name="page25"/>
    <w:bookmarkEnd w:id="24"/>
    <w:p>
      <w:pPr>
        <w:jc w:val="both"/>
        <w:spacing w:after="0" w:line="253" w:lineRule="auto"/>
        <w:rPr>
          <w:sz w:val="20"/>
          <w:szCs w:val="20"/>
          <w:color w:val="auto"/>
        </w:rPr>
      </w:pPr>
      <w:r>
        <w:rPr>
          <w:rFonts w:ascii="Times New Roman" w:cs="Times New Roman" w:eastAsia="Times New Roman" w:hAnsi="Times New Roman"/>
          <w:sz w:val="20"/>
          <w:szCs w:val="20"/>
          <w:color w:val="auto"/>
        </w:rPr>
        <w:t>Proposing Person shall in all events be deemed to beneficially own any shares of any class or series of capital stock of the Corporation as to which such Proposing Person has a right to acquire beneficial ownership at any time in the future, (C) the date or dates such shares were acquired, (D) the investment intent of such acquisition and (E) any pledge by such Proposing Person with respect to any of such shares (the disclosures to be made pursuant to the foregoing clauses (A) through (E) are referred to as “</w:t>
      </w:r>
      <w:r>
        <w:rPr>
          <w:rFonts w:ascii="Times New Roman" w:cs="Times New Roman" w:eastAsia="Times New Roman" w:hAnsi="Times New Roman"/>
          <w:sz w:val="20"/>
          <w:szCs w:val="20"/>
          <w:u w:val="single" w:color="auto"/>
          <w:color w:val="auto"/>
        </w:rPr>
        <w:t>Stockholder Information</w:t>
      </w:r>
      <w:r>
        <w:rPr>
          <w:rFonts w:ascii="Times New Roman" w:cs="Times New Roman" w:eastAsia="Times New Roman" w:hAnsi="Times New Roman"/>
          <w:sz w:val="20"/>
          <w:szCs w:val="20"/>
          <w:color w:val="auto"/>
        </w:rPr>
        <w:t>”);</w:t>
      </w:r>
    </w:p>
    <w:p>
      <w:pPr>
        <w:spacing w:after="0" w:line="84" w:lineRule="exact"/>
        <w:rPr>
          <w:sz w:val="20"/>
          <w:szCs w:val="20"/>
          <w:color w:val="auto"/>
        </w:rPr>
      </w:pPr>
    </w:p>
    <w:p>
      <w:pPr>
        <w:ind w:left="1080" w:hanging="436"/>
        <w:spacing w:after="0"/>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each Proposing Person,</w:t>
      </w:r>
    </w:p>
    <w:p>
      <w:pPr>
        <w:spacing w:after="0" w:line="121" w:lineRule="exact"/>
        <w:rPr>
          <w:rFonts w:ascii="Times New Roman" w:cs="Times New Roman" w:eastAsia="Times New Roman" w:hAnsi="Times New Roman"/>
          <w:sz w:val="20"/>
          <w:szCs w:val="20"/>
          <w:color w:val="auto"/>
        </w:rPr>
      </w:pPr>
    </w:p>
    <w:p>
      <w:pPr>
        <w:jc w:val="both"/>
        <w:ind w:left="640" w:firstLine="652"/>
        <w:spacing w:after="0" w:line="253" w:lineRule="auto"/>
        <w:tabs>
          <w:tab w:leader="none" w:pos="1613"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material terms and conditions of any “derivative security” (as such term is defined in Rule 16a-1(c) under the Exchange Act) that constitutes a “call equivalent position” (as such term is defined in Rule 16a-1(b) under the Exchange Act) or a “put equivalent position” (as such term is defined in Rule 16a-1(h) under the Exchange Act) or other derivative or synthetic arrangement in respect of any class or series of shares of capital stock of the Corporation (“</w:t>
      </w:r>
      <w:r>
        <w:rPr>
          <w:rFonts w:ascii="Times New Roman" w:cs="Times New Roman" w:eastAsia="Times New Roman" w:hAnsi="Times New Roman"/>
          <w:sz w:val="20"/>
          <w:szCs w:val="20"/>
          <w:u w:val="single" w:color="auto"/>
          <w:color w:val="auto"/>
        </w:rPr>
        <w:t>Synthetic Equity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Position</w:t>
      </w:r>
      <w:r>
        <w:rPr>
          <w:rFonts w:ascii="Times New Roman" w:cs="Times New Roman" w:eastAsia="Times New Roman" w:hAnsi="Times New Roman"/>
          <w:sz w:val="20"/>
          <w:szCs w:val="20"/>
          <w:color w:val="auto"/>
        </w:rPr>
        <w:t>”) that is, directly or indirectly, held or maintained by, held for the benefit of, or involving such Proposing Person, including, without limitation,</w:t>
      </w:r>
    </w:p>
    <w:p>
      <w:pPr>
        <w:spacing w:after="0" w:line="70" w:lineRule="exact"/>
        <w:rPr>
          <w:rFonts w:ascii="Times New Roman" w:cs="Times New Roman" w:eastAsia="Times New Roman" w:hAnsi="Times New Roman"/>
          <w:sz w:val="20"/>
          <w:szCs w:val="20"/>
          <w:color w:val="auto"/>
        </w:rPr>
      </w:pPr>
    </w:p>
    <w:p>
      <w:pPr>
        <w:jc w:val="both"/>
        <w:ind w:left="1300" w:firstLine="640"/>
        <w:spacing w:after="0" w:line="258" w:lineRule="auto"/>
        <w:tabs>
          <w:tab w:leader="none" w:pos="2232"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option, warrant, convertible security, stock appreciation right, future or similar right with an exercise or conversion privilege or a settlement payment or mechanism at a price related to any class or series of shares of capital stock of the Corporation or with a value derived in whole or in part from the value of any shares of any class or series of shares of capital stock of the Corporation,</w:t>
      </w:r>
    </w:p>
    <w:p>
      <w:pPr>
        <w:spacing w:after="0" w:line="77" w:lineRule="exact"/>
        <w:rPr>
          <w:rFonts w:ascii="Times New Roman" w:cs="Times New Roman" w:eastAsia="Times New Roman" w:hAnsi="Times New Roman"/>
          <w:sz w:val="20"/>
          <w:szCs w:val="20"/>
          <w:color w:val="auto"/>
        </w:rPr>
      </w:pPr>
    </w:p>
    <w:p>
      <w:pPr>
        <w:jc w:val="both"/>
        <w:ind w:left="1300" w:firstLine="640"/>
        <w:spacing w:after="0" w:line="261" w:lineRule="auto"/>
        <w:tabs>
          <w:tab w:leader="none" w:pos="2230"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derivative or synthetic arrangement having the characteristics of a long position or a short position in any class or series of shares of capital stock of the Corporation, including, without limitation, a stock loan transaction, a stock borrow transaction, or a share repurchase transaction or</w:t>
      </w:r>
    </w:p>
    <w:p>
      <w:pPr>
        <w:spacing w:after="0" w:line="59" w:lineRule="exact"/>
        <w:rPr>
          <w:rFonts w:ascii="Times New Roman" w:cs="Times New Roman" w:eastAsia="Times New Roman" w:hAnsi="Times New Roman"/>
          <w:sz w:val="20"/>
          <w:szCs w:val="20"/>
          <w:color w:val="auto"/>
        </w:rPr>
      </w:pPr>
    </w:p>
    <w:p>
      <w:pPr>
        <w:ind w:left="2220" w:hanging="280"/>
        <w:spacing w:after="0"/>
        <w:tabs>
          <w:tab w:leader="none" w:pos="2220"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derivative, swap or other transaction or series of transactions designed to</w:t>
      </w:r>
    </w:p>
    <w:p>
      <w:pPr>
        <w:spacing w:after="0" w:line="121" w:lineRule="exact"/>
        <w:rPr>
          <w:rFonts w:ascii="Times New Roman" w:cs="Times New Roman" w:eastAsia="Times New Roman" w:hAnsi="Times New Roman"/>
          <w:sz w:val="20"/>
          <w:szCs w:val="20"/>
          <w:color w:val="auto"/>
        </w:rPr>
      </w:pPr>
    </w:p>
    <w:p>
      <w:pPr>
        <w:ind w:left="1940" w:right="20" w:firstLine="648"/>
        <w:spacing w:after="0" w:line="269" w:lineRule="auto"/>
        <w:tabs>
          <w:tab w:leader="none" w:pos="2878" w:val="left"/>
        </w:tabs>
        <w:numPr>
          <w:ilvl w:val="3"/>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produce economic benefits and risks that correspond substantially to the ownership of any class or series of shares of capital stock of the Corporation,</w:t>
      </w:r>
    </w:p>
    <w:p>
      <w:pPr>
        <w:spacing w:after="0" w:line="64" w:lineRule="exact"/>
        <w:rPr>
          <w:rFonts w:ascii="Times New Roman" w:cs="Times New Roman" w:eastAsia="Times New Roman" w:hAnsi="Times New Roman"/>
          <w:sz w:val="20"/>
          <w:szCs w:val="20"/>
          <w:color w:val="auto"/>
        </w:rPr>
      </w:pPr>
    </w:p>
    <w:p>
      <w:pPr>
        <w:ind w:left="1940" w:firstLine="648"/>
        <w:spacing w:after="0" w:line="310" w:lineRule="auto"/>
        <w:tabs>
          <w:tab w:leader="none" w:pos="2870" w:val="left"/>
        </w:tabs>
        <w:numPr>
          <w:ilvl w:val="3"/>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mitigate any loss relating to, reduce the economic risk (of ownership or otherwise) of, or manage the risk of share price decrease in, any class or series of shares of capital stock of the Corporation, or</w:t>
      </w:r>
    </w:p>
    <w:p>
      <w:pPr>
        <w:spacing w:after="0" w:line="16" w:lineRule="exact"/>
        <w:rPr>
          <w:rFonts w:ascii="Times New Roman" w:cs="Times New Roman" w:eastAsia="Times New Roman" w:hAnsi="Times New Roman"/>
          <w:sz w:val="19"/>
          <w:szCs w:val="19"/>
          <w:color w:val="auto"/>
        </w:rPr>
      </w:pPr>
    </w:p>
    <w:p>
      <w:pPr>
        <w:ind w:left="1940" w:right="20" w:firstLine="648"/>
        <w:spacing w:after="0" w:line="283" w:lineRule="auto"/>
        <w:tabs>
          <w:tab w:leader="none" w:pos="2868" w:val="left"/>
        </w:tabs>
        <w:numPr>
          <w:ilvl w:val="3"/>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or decrease the voting power in respect of any class or series of shares of capital stock of the Corporation held or maintained by, held for the benefit of, or involving such Proposing Person,</w:t>
      </w:r>
    </w:p>
    <w:p>
      <w:pPr>
        <w:spacing w:after="0" w:line="38"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20"/>
          <w:szCs w:val="20"/>
          <w:color w:val="auto"/>
        </w:rPr>
        <w:t>including, without limitation, due to the fact that the value of such contract, derivative, swap or other transaction or series of transactions is determined by reference to the price, value or volatility of any class or series of shares of capital stock of the Corporation, whether or not such instrument, contract or right shall be subject to settlement in the underlying class or series of shares of capital stock of the Corporation, through the delivery of cash or other property, or otherwise, and without regard to whether the holder thereof may have entered into transactions that hedge or mitigate the economic effect of such instrument, contract or right, or any other direct or indirect opportunity to profit or share in</w:t>
      </w:r>
    </w:p>
    <w:p>
      <w:pPr>
        <w:sectPr>
          <w:pgSz w:w="11900" w:h="16838" w:orient="portrait"/>
          <w:cols w:equalWidth="0" w:num="1">
            <w:col w:w="10580"/>
          </w:cols>
          <w:pgMar w:left="980" w:top="1413" w:right="339" w:bottom="1440" w:gutter="0" w:footer="0" w:header="0"/>
        </w:sectPr>
      </w:pPr>
    </w:p>
    <w:bookmarkStart w:id="25" w:name="page26"/>
    <w:bookmarkEnd w:id="25"/>
    <w:p>
      <w:pPr>
        <w:ind w:left="840"/>
        <w:spacing w:after="0" w:line="283" w:lineRule="auto"/>
        <w:rPr>
          <w:sz w:val="20"/>
          <w:szCs w:val="20"/>
          <w:color w:val="auto"/>
        </w:rPr>
      </w:pPr>
      <w:r>
        <w:rPr>
          <w:rFonts w:ascii="Times New Roman" w:cs="Times New Roman" w:eastAsia="Times New Roman" w:hAnsi="Times New Roman"/>
          <w:sz w:val="20"/>
          <w:szCs w:val="20"/>
          <w:color w:val="auto"/>
        </w:rPr>
        <w:t>any profit derived from any increase or decrease in the price or value of any shares of any class or series of shares of capital stock of the Corporation;</w:t>
      </w:r>
    </w:p>
    <w:p>
      <w:pPr>
        <w:spacing w:after="0" w:line="34" w:lineRule="exact"/>
        <w:rPr>
          <w:sz w:val="20"/>
          <w:szCs w:val="20"/>
          <w:color w:val="auto"/>
        </w:rPr>
      </w:pPr>
    </w:p>
    <w:p>
      <w:pPr>
        <w:jc w:val="both"/>
        <w:ind w:left="180"/>
        <w:spacing w:after="0" w:line="251" w:lineRule="auto"/>
        <w:rPr>
          <w:sz w:val="20"/>
          <w:szCs w:val="20"/>
          <w:color w:val="auto"/>
        </w:rPr>
      </w:pP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for the purposes of the definition of “</w:t>
      </w:r>
      <w:r>
        <w:rPr>
          <w:rFonts w:ascii="Times New Roman" w:cs="Times New Roman" w:eastAsia="Times New Roman" w:hAnsi="Times New Roman"/>
          <w:sz w:val="20"/>
          <w:szCs w:val="20"/>
          <w:u w:val="single" w:color="auto"/>
          <w:color w:val="auto"/>
        </w:rPr>
        <w:t>Synthetic Equity Position</w:t>
      </w:r>
      <w:r>
        <w:rPr>
          <w:rFonts w:ascii="Times New Roman" w:cs="Times New Roman" w:eastAsia="Times New Roman" w:hAnsi="Times New Roman"/>
          <w:sz w:val="20"/>
          <w:szCs w:val="20"/>
          <w:color w:val="auto"/>
        </w:rPr>
        <w:t>,” the term “derivative security” shall also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w:t>
      </w:r>
      <w:r>
        <w:rPr>
          <w:rFonts w:ascii="Times New Roman" w:cs="Times New Roman" w:eastAsia="Times New Roman" w:hAnsi="Times New Roman"/>
          <w:sz w:val="20"/>
          <w:szCs w:val="20"/>
          <w:i w:val="1"/>
          <w:iCs w:val="1"/>
          <w:color w:val="auto"/>
        </w:rPr>
        <w:t>and, provided, further, that</w:t>
      </w:r>
      <w:r>
        <w:rPr>
          <w:rFonts w:ascii="Times New Roman" w:cs="Times New Roman" w:eastAsia="Times New Roman" w:hAnsi="Times New Roman"/>
          <w:sz w:val="20"/>
          <w:szCs w:val="20"/>
          <w:color w:val="auto"/>
        </w:rPr>
        <w:t xml:space="preserve">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underly any Synthetic Equity Position that is, directly or indirectly, held or maintained by, held for the benefit of, or involving such Proposing Person as a hedge with respect to a bona fide derivatives trade or position of such Proposing Person arising in the ordinary course of such Proposing Person’s business as a derivatives dealer,</w:t>
      </w:r>
    </w:p>
    <w:p>
      <w:pPr>
        <w:spacing w:after="0" w:line="74" w:lineRule="exact"/>
        <w:rPr>
          <w:sz w:val="20"/>
          <w:szCs w:val="20"/>
          <w:color w:val="auto"/>
        </w:rPr>
      </w:pPr>
    </w:p>
    <w:p>
      <w:pPr>
        <w:ind w:left="180" w:right="20" w:firstLine="652"/>
        <w:spacing w:after="0" w:line="283" w:lineRule="auto"/>
        <w:tabs>
          <w:tab w:leader="none" w:pos="1175"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pending or threatened legal proceeding in which such Proposing Person is a party or material participant involving the Corporation or any of its officers or directors, or any affiliate of the Corporation,</w:t>
      </w:r>
    </w:p>
    <w:p>
      <w:pPr>
        <w:spacing w:after="0" w:line="51" w:lineRule="exact"/>
        <w:rPr>
          <w:rFonts w:ascii="Times New Roman" w:cs="Times New Roman" w:eastAsia="Times New Roman" w:hAnsi="Times New Roman"/>
          <w:sz w:val="20"/>
          <w:szCs w:val="20"/>
          <w:color w:val="auto"/>
        </w:rPr>
      </w:pPr>
    </w:p>
    <w:p>
      <w:pPr>
        <w:ind w:left="180" w:right="20" w:firstLine="652"/>
        <w:spacing w:after="0" w:line="269" w:lineRule="auto"/>
        <w:tabs>
          <w:tab w:leader="none" w:pos="116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material relationship between such Proposing Person, on the one hand, and the Corporation or any affiliate of the Corporation, on the other hand,</w:t>
      </w:r>
    </w:p>
    <w:p>
      <w:pPr>
        <w:spacing w:after="0" w:line="64" w:lineRule="exact"/>
        <w:rPr>
          <w:rFonts w:ascii="Times New Roman" w:cs="Times New Roman" w:eastAsia="Times New Roman" w:hAnsi="Times New Roman"/>
          <w:sz w:val="20"/>
          <w:szCs w:val="20"/>
          <w:color w:val="auto"/>
        </w:rPr>
      </w:pPr>
    </w:p>
    <w:p>
      <w:pPr>
        <w:jc w:val="both"/>
        <w:ind w:left="180" w:firstLine="652"/>
        <w:spacing w:after="0" w:line="261" w:lineRule="auto"/>
        <w:tabs>
          <w:tab w:leader="none" w:pos="1163"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direct or indirect material interest in any material contract or agreement of such Proposing Person with the Corporation or any affiliate of the Corporation (including, in any such case, any employment agreement, collective bargaining agreement or consulting agreement),</w:t>
      </w:r>
    </w:p>
    <w:p>
      <w:pPr>
        <w:spacing w:after="0" w:line="59" w:lineRule="exact"/>
        <w:rPr>
          <w:rFonts w:ascii="Times New Roman" w:cs="Times New Roman" w:eastAsia="Times New Roman" w:hAnsi="Times New Roman"/>
          <w:sz w:val="20"/>
          <w:szCs w:val="20"/>
          <w:color w:val="auto"/>
        </w:rPr>
      </w:pPr>
    </w:p>
    <w:p>
      <w:pPr>
        <w:jc w:val="both"/>
        <w:ind w:left="180" w:firstLine="652"/>
        <w:spacing w:after="0" w:line="257" w:lineRule="auto"/>
        <w:tabs>
          <w:tab w:leader="none" w:pos="1163"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proportionate interest in shares of capital stock of the Corporation or a Synthetic Equity Position held, directly or indirectly, by a general or limited partnership, limited liability company or similar entity in which any such Proposing Person (1) is a general partner or, directly or indirectly, beneficially owns an interest in a general partner of such general or limited partnership or (2) is the manager, managing member or, directly or indirectly, beneficially owns an interest in the manager or managing member of such limited liability company or similar entity,</w:t>
      </w:r>
    </w:p>
    <w:p>
      <w:pPr>
        <w:spacing w:after="0" w:line="64" w:lineRule="exact"/>
        <w:rPr>
          <w:rFonts w:ascii="Times New Roman" w:cs="Times New Roman" w:eastAsia="Times New Roman" w:hAnsi="Times New Roman"/>
          <w:sz w:val="20"/>
          <w:szCs w:val="20"/>
          <w:color w:val="auto"/>
        </w:rPr>
      </w:pPr>
    </w:p>
    <w:p>
      <w:pPr>
        <w:jc w:val="both"/>
        <w:ind w:left="180" w:right="20" w:firstLine="652"/>
        <w:spacing w:after="0" w:line="268" w:lineRule="auto"/>
        <w:tabs>
          <w:tab w:leader="none" w:pos="1123"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that such Proposing Person intends or is part of a group that intends to deliver a proxy statement and/or form of proxy to holders of at least the percentage of the Corporation’s outstanding capital stock required to approve or adopt the proposal or otherwise solicit proxies or votes from stockholders in support of such proposal and</w:t>
      </w:r>
    </w:p>
    <w:p>
      <w:pPr>
        <w:spacing w:after="0" w:line="53" w:lineRule="exact"/>
        <w:rPr>
          <w:rFonts w:ascii="Times New Roman" w:cs="Times New Roman" w:eastAsia="Times New Roman" w:hAnsi="Times New Roman"/>
          <w:sz w:val="20"/>
          <w:szCs w:val="20"/>
          <w:color w:val="auto"/>
        </w:rPr>
      </w:pPr>
    </w:p>
    <w:p>
      <w:pPr>
        <w:jc w:val="both"/>
        <w:ind w:left="180" w:firstLine="652"/>
        <w:spacing w:after="0" w:line="261" w:lineRule="auto"/>
        <w:tabs>
          <w:tab w:leader="none" w:pos="1186"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w:t>
      </w:r>
    </w:p>
    <w:p>
      <w:pPr>
        <w:sectPr>
          <w:pgSz w:w="11900" w:h="16838" w:orient="portrait"/>
          <w:cols w:equalWidth="0" w:num="1">
            <w:col w:w="10120"/>
          </w:cols>
          <w:pgMar w:left="1440" w:top="1413" w:right="339" w:bottom="1440" w:gutter="0" w:footer="0" w:header="0"/>
        </w:sectPr>
      </w:pPr>
    </w:p>
    <w:bookmarkStart w:id="26" w:name="page27"/>
    <w:bookmarkEnd w:id="26"/>
    <w:p>
      <w:pPr>
        <w:jc w:val="both"/>
        <w:ind w:left="660"/>
        <w:spacing w:after="0" w:line="260" w:lineRule="auto"/>
        <w:rPr>
          <w:sz w:val="20"/>
          <w:szCs w:val="20"/>
          <w:color w:val="auto"/>
        </w:rPr>
      </w:pPr>
      <w:r>
        <w:rPr>
          <w:rFonts w:ascii="Times New Roman" w:cs="Times New Roman" w:eastAsia="Times New Roman" w:hAnsi="Times New Roman"/>
          <w:sz w:val="20"/>
          <w:szCs w:val="20"/>
          <w:color w:val="auto"/>
        </w:rPr>
        <w:t>(the disclosures to be made pursuant to the foregoing clauses (A) through (G) are referred to as “</w:t>
      </w:r>
      <w:r>
        <w:rPr>
          <w:rFonts w:ascii="Times New Roman" w:cs="Times New Roman" w:eastAsia="Times New Roman" w:hAnsi="Times New Roman"/>
          <w:sz w:val="20"/>
          <w:szCs w:val="20"/>
          <w:u w:val="single" w:color="auto"/>
          <w:color w:val="auto"/>
        </w:rPr>
        <w:t>Disclosable Interests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Disclosable Interests shall not include any such disclosures with respect to the ordinary course business activities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any broker, dealer, commercial bank, trust company or other nominee who is a Proposing Person solely as a result of being the stockholder directed to prepare and submit the notice required by these Bylaws on behalf of a beneficial owner; and</w:t>
      </w:r>
    </w:p>
    <w:p>
      <w:pPr>
        <w:spacing w:after="0" w:line="60" w:lineRule="exact"/>
        <w:rPr>
          <w:sz w:val="20"/>
          <w:szCs w:val="20"/>
          <w:color w:val="auto"/>
        </w:rPr>
      </w:pPr>
    </w:p>
    <w:p>
      <w:pPr>
        <w:jc w:val="both"/>
        <w:ind w:left="660" w:firstLine="644"/>
        <w:spacing w:after="0" w:line="251" w:lineRule="auto"/>
        <w:tabs>
          <w:tab w:leader="none" w:pos="1801"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in the event that such business includes a proposal to amend the Bylaws, the language of the proposed amendment), (C) a reasonably detailed description of all agreements, arrangements and understandings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x) between or among any of the Proposing Persons or (y) between or among any Proposing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disclosures required by this paragraph (iii)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For purposes of this Section 2.4, the term “</w:t>
      </w:r>
      <w:r>
        <w:rPr>
          <w:rFonts w:ascii="Times New Roman" w:cs="Times New Roman" w:eastAsia="Times New Roman" w:hAnsi="Times New Roman"/>
          <w:sz w:val="20"/>
          <w:szCs w:val="20"/>
          <w:u w:val="single" w:color="auto"/>
          <w:color w:val="auto"/>
        </w:rPr>
        <w:t>Proposing Person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shall mean (i) the stockholder providing the notice of business proposed to be brought before an annual meeting, (ii) the beneficial owner or beneficial owners, if different, on whose behalf the notice of the business proposed to be brought before the annual meeting is made, and (iii) any participant (as defined in paragraphs (a)(ii)-(vi) of Instruction 3 to Item 4 of Schedule 14A) with such stockholder in such solicitation.</w:t>
      </w:r>
    </w:p>
    <w:p>
      <w:pPr>
        <w:spacing w:after="0" w:line="80" w:lineRule="exact"/>
        <w:rPr>
          <w:sz w:val="20"/>
          <w:szCs w:val="20"/>
          <w:color w:val="auto"/>
        </w:rPr>
      </w:pPr>
    </w:p>
    <w:p>
      <w:pPr>
        <w:jc w:val="both"/>
        <w:ind w:right="20" w:firstLine="656"/>
        <w:spacing w:after="0" w:line="261" w:lineRule="auto"/>
        <w:tabs>
          <w:tab w:leader="none" w:pos="118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of Directors may request that any Proposing Person furnish such additional information as may be reasonably required by the Board of Directors. Such Proposing Person shall provide such additional information within ten (10) days after it has been requested by the Board of Directors.</w:t>
      </w:r>
    </w:p>
    <w:p>
      <w:pPr>
        <w:spacing w:after="0" w:line="73" w:lineRule="exact"/>
        <w:rPr>
          <w:rFonts w:ascii="Times New Roman" w:cs="Times New Roman" w:eastAsia="Times New Roman" w:hAnsi="Times New Roman"/>
          <w:sz w:val="20"/>
          <w:szCs w:val="20"/>
          <w:color w:val="auto"/>
        </w:rPr>
      </w:pPr>
    </w:p>
    <w:p>
      <w:pPr>
        <w:jc w:val="both"/>
        <w:ind w:firstLine="656"/>
        <w:spacing w:after="0" w:line="251" w:lineRule="auto"/>
        <w:tabs>
          <w:tab w:leader="none" w:pos="1131"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Proposing Person shall update and supplement its notice to the Corporation of its intent to propose business at an annual meeting, if necessary, so that the information provided or required to be provided in such notice pursuant to this Section 2.4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entitled to vote at the meeting (in the case of the update and supplement required to be made as of such record date), and not later than eight</w:t>
      </w:r>
    </w:p>
    <w:p>
      <w:pPr>
        <w:spacing w:after="0" w:line="6" w:lineRule="exact"/>
        <w:rPr>
          <w:sz w:val="20"/>
          <w:szCs w:val="20"/>
          <w:color w:val="auto"/>
        </w:rPr>
      </w:pPr>
    </w:p>
    <w:p>
      <w:pPr>
        <w:jc w:val="both"/>
        <w:ind w:firstLine="8"/>
        <w:spacing w:after="0" w:line="249" w:lineRule="auto"/>
        <w:tabs>
          <w:tab w:leader="none" w:pos="285"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w:t>
      </w:r>
    </w:p>
    <w:p>
      <w:pPr>
        <w:sectPr>
          <w:pgSz w:w="11900" w:h="16838" w:orient="portrait"/>
          <w:cols w:equalWidth="0" w:num="1">
            <w:col w:w="11240"/>
          </w:cols>
          <w:pgMar w:left="320" w:top="1409" w:right="339" w:bottom="1440" w:gutter="0" w:footer="0" w:header="0"/>
        </w:sectPr>
      </w:pPr>
    </w:p>
    <w:bookmarkStart w:id="27" w:name="page28"/>
    <w:bookmarkEnd w:id="27"/>
    <w:p>
      <w:pPr>
        <w:spacing w:after="0" w:line="283" w:lineRule="auto"/>
        <w:rPr>
          <w:sz w:val="20"/>
          <w:szCs w:val="20"/>
          <w:color w:val="auto"/>
        </w:rPr>
      </w:pPr>
      <w:r>
        <w:rPr>
          <w:rFonts w:ascii="Times New Roman" w:cs="Times New Roman" w:eastAsia="Times New Roman" w:hAnsi="Times New Roman"/>
          <w:sz w:val="20"/>
          <w:szCs w:val="20"/>
          <w:color w:val="auto"/>
        </w:rPr>
        <w:t>who has previously submitted notice hereunder to amend or update any proposal or to submit any new proposal, including by changing or adding matters, business or resolutions proposed to be brought before a meeting of the stockholders.</w:t>
      </w:r>
    </w:p>
    <w:p>
      <w:pPr>
        <w:spacing w:after="0" w:line="38" w:lineRule="exact"/>
        <w:rPr>
          <w:sz w:val="20"/>
          <w:szCs w:val="20"/>
          <w:color w:val="auto"/>
        </w:rPr>
      </w:pPr>
    </w:p>
    <w:p>
      <w:pPr>
        <w:jc w:val="both"/>
        <w:ind w:firstLine="656"/>
        <w:spacing w:after="0" w:line="257" w:lineRule="auto"/>
        <w:tabs>
          <w:tab w:leader="none" w:pos="1142"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these Bylaws to the contrary, no business shall be conducted at an annual meeting that is not properly brought before the meeting in accordance with this Section 2.4. The presiding officer of the meeting (or, in advance of any meeting of stockholders, the Board of Directors or an authorized committee thereof) shall, if the facts warrant, determine that the business was not properly brought before the meeting in accordance with this Section 2.4, and if he or she should so determine, he or she shall so declare to the meeting and any such business not properly brought before the meeting shall not be transacted.</w:t>
      </w:r>
    </w:p>
    <w:p>
      <w:pPr>
        <w:spacing w:after="0" w:line="64" w:lineRule="exact"/>
        <w:rPr>
          <w:rFonts w:ascii="Times New Roman" w:cs="Times New Roman" w:eastAsia="Times New Roman" w:hAnsi="Times New Roman"/>
          <w:sz w:val="20"/>
          <w:szCs w:val="20"/>
          <w:color w:val="auto"/>
        </w:rPr>
      </w:pPr>
    </w:p>
    <w:p>
      <w:pPr>
        <w:jc w:val="both"/>
        <w:ind w:firstLine="656"/>
        <w:spacing w:after="0" w:line="253" w:lineRule="auto"/>
        <w:tabs>
          <w:tab w:leader="none" w:pos="1073"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Section 2.4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Section 2.4 with respect to any business proposed to be brought before an annual meeting, each Proposing Person shall comply with all applicable requirements of the Exchange Act with respect to any such business. Nothing in this Section 2.4 shall be deemed to affect the rights of stockholders to request inclusion of proposals in the Corporation’s proxy statement pursuant to Rule 14a-8 under the Exchange Act.</w:t>
      </w:r>
    </w:p>
    <w:p>
      <w:pPr>
        <w:spacing w:after="0" w:line="84" w:lineRule="exact"/>
        <w:rPr>
          <w:rFonts w:ascii="Times New Roman" w:cs="Times New Roman" w:eastAsia="Times New Roman" w:hAnsi="Times New Roman"/>
          <w:sz w:val="20"/>
          <w:szCs w:val="20"/>
          <w:color w:val="auto"/>
        </w:rPr>
      </w:pPr>
    </w:p>
    <w:p>
      <w:pPr>
        <w:jc w:val="both"/>
        <w:ind w:firstLine="656"/>
        <w:spacing w:after="0" w:line="261" w:lineRule="auto"/>
        <w:tabs>
          <w:tab w:leader="none" w:pos="1107"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these Bylaws, “</w:t>
      </w:r>
      <w:r>
        <w:rPr>
          <w:rFonts w:ascii="Times New Roman" w:cs="Times New Roman" w:eastAsia="Times New Roman" w:hAnsi="Times New Roman"/>
          <w:sz w:val="20"/>
          <w:szCs w:val="20"/>
          <w:u w:val="single" w:color="auto"/>
          <w:color w:val="auto"/>
        </w:rPr>
        <w:t>public disclosure</w:t>
      </w:r>
      <w:r>
        <w:rPr>
          <w:rFonts w:ascii="Times New Roman" w:cs="Times New Roman" w:eastAsia="Times New Roman" w:hAnsi="Times New Roman"/>
          <w:sz w:val="20"/>
          <w:szCs w:val="20"/>
          <w:color w:val="auto"/>
        </w:rPr>
        <w:t>” shall mean disclosure in a press release reported by a national news service or in a document publicly filed by the Corporation with the Securities and Exchange Commission pursuant to Sections 13, 14 or 15(d) of the Exchange Act.</w:t>
      </w:r>
    </w:p>
    <w:p>
      <w:pPr>
        <w:spacing w:after="0" w:line="7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u w:val="single" w:color="auto"/>
          <w:color w:val="auto"/>
        </w:rPr>
        <w:t>Notice of Nominations for Election to the Board of Directors.</w:t>
      </w:r>
    </w:p>
    <w:p>
      <w:pPr>
        <w:spacing w:after="0" w:line="216" w:lineRule="exact"/>
        <w:rPr>
          <w:sz w:val="20"/>
          <w:szCs w:val="20"/>
          <w:color w:val="auto"/>
        </w:rPr>
      </w:pPr>
    </w:p>
    <w:p>
      <w:pPr>
        <w:jc w:val="both"/>
        <w:ind w:firstLine="656"/>
        <w:spacing w:after="0" w:line="250" w:lineRule="auto"/>
        <w:tabs>
          <w:tab w:leader="none" w:pos="1105"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Nominations of any person for election to the Board of Directors at an annual meeting or at a special meeting (but only if the election of directors is a matter specified in the notice of meeting given by or at the direction of the person calling such special meeting) may be made at such meeting only (i) by or at the direction of the Board of Directors, including by any committee or persons authorized to do so by the Board of Directors or these bylaws, or (ii) by a stockholder present in person who (A) was a record owner of shares of capital stock of the Corporation both at the time of giving the notice provided for in this Section 2.5 and at the time of the meeting, (B) is entitled to vote at the meeting, and (C) has complied with this Section 2.5 and Section 2.6 as to such notice and nomination. For purposes of this Section 2.5, “</w:t>
      </w:r>
      <w:r>
        <w:rPr>
          <w:rFonts w:ascii="Times New Roman" w:cs="Times New Roman" w:eastAsia="Times New Roman" w:hAnsi="Times New Roman"/>
          <w:sz w:val="20"/>
          <w:szCs w:val="20"/>
          <w:u w:val="single" w:color="auto"/>
          <w:color w:val="auto"/>
        </w:rPr>
        <w:t>present in person</w:t>
      </w:r>
      <w:r>
        <w:rPr>
          <w:rFonts w:ascii="Times New Roman" w:cs="Times New Roman" w:eastAsia="Times New Roman" w:hAnsi="Times New Roman"/>
          <w:sz w:val="20"/>
          <w:szCs w:val="20"/>
          <w:color w:val="auto"/>
        </w:rPr>
        <w:t>” shall mean that the stockholder nominating any person for election to the Board of Directors at the meeting of the Corporation, or a qualified representative of such stockholder, appear at such meeting, either in person or by means of remote communication. A “</w:t>
      </w:r>
      <w:r>
        <w:rPr>
          <w:rFonts w:ascii="Times New Roman" w:cs="Times New Roman" w:eastAsia="Times New Roman" w:hAnsi="Times New Roman"/>
          <w:sz w:val="20"/>
          <w:szCs w:val="20"/>
          <w:u w:val="single" w:color="auto"/>
          <w:color w:val="auto"/>
        </w:rPr>
        <w:t>qualified representative</w:t>
      </w:r>
      <w:r>
        <w:rPr>
          <w:rFonts w:ascii="Times New Roman" w:cs="Times New Roman" w:eastAsia="Times New Roman" w:hAnsi="Times New Roman"/>
          <w:sz w:val="20"/>
          <w:szCs w:val="20"/>
          <w:color w:val="auto"/>
        </w:rPr>
        <w:t>”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or before the meeting of stockholders in writing or by electronic transmission. The foregoing clause (ii) shall be the exclusive means for a stockholder to make any nomination of a person or persons for election to the Board of Directors at an annual meeting or special meeting.</w:t>
      </w:r>
    </w:p>
    <w:p>
      <w:pPr>
        <w:spacing w:after="0" w:line="75" w:lineRule="exact"/>
        <w:rPr>
          <w:rFonts w:ascii="Times New Roman" w:cs="Times New Roman" w:eastAsia="Times New Roman" w:hAnsi="Times New Roman"/>
          <w:sz w:val="20"/>
          <w:szCs w:val="20"/>
          <w:color w:val="auto"/>
        </w:rPr>
      </w:pPr>
    </w:p>
    <w:p>
      <w:pPr>
        <w:jc w:val="both"/>
        <w:ind w:firstLine="656"/>
        <w:spacing w:after="0" w:line="258" w:lineRule="auto"/>
        <w:tabs>
          <w:tab w:leader="none" w:pos="1083"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Without qualification, for a stockholder to make any nomination of a person or persons for election to the Board of Directors at an annual meeting, the stockholder must (1) provide Timely Notice (as defined in Section 2.4) thereof in writing and in proper form to the Secretary of the Corporation, (2) provide the information, agreements and questionnaires with respect to each Nominating Person (as defined below) and its candidate for nomination as required to be set forth by this Section 2.5</w:t>
      </w:r>
    </w:p>
    <w:p>
      <w:pPr>
        <w:sectPr>
          <w:pgSz w:w="11900" w:h="16838" w:orient="portrait"/>
          <w:cols w:equalWidth="0" w:num="1">
            <w:col w:w="11240"/>
          </w:cols>
          <w:pgMar w:left="320" w:top="1413" w:right="339" w:bottom="1440" w:gutter="0" w:footer="0" w:header="0"/>
        </w:sectPr>
      </w:pPr>
    </w:p>
    <w:bookmarkStart w:id="28" w:name="page29"/>
    <w:bookmarkEnd w:id="28"/>
    <w:p>
      <w:pPr>
        <w:spacing w:after="0" w:line="283" w:lineRule="auto"/>
        <w:rPr>
          <w:sz w:val="20"/>
          <w:szCs w:val="20"/>
          <w:color w:val="auto"/>
        </w:rPr>
      </w:pPr>
      <w:r>
        <w:rPr>
          <w:rFonts w:ascii="Times New Roman" w:cs="Times New Roman" w:eastAsia="Times New Roman" w:hAnsi="Times New Roman"/>
          <w:sz w:val="20"/>
          <w:szCs w:val="20"/>
          <w:color w:val="auto"/>
        </w:rPr>
        <w:t>and Section 2.6 and (3) provide any updates or supplements to such notice at the times and in the forms required by this Section 2.5 and Section 2.6</w:t>
      </w:r>
      <w:r>
        <w:rPr>
          <w:rFonts w:ascii="Times New Roman" w:cs="Times New Roman" w:eastAsia="Times New Roman" w:hAnsi="Times New Roman"/>
          <w:sz w:val="20"/>
          <w:szCs w:val="20"/>
          <w:i w:val="1"/>
          <w:iCs w:val="1"/>
          <w:color w:val="auto"/>
        </w:rPr>
        <w:t>.</w:t>
      </w:r>
    </w:p>
    <w:p>
      <w:pPr>
        <w:spacing w:after="0" w:line="38" w:lineRule="exact"/>
        <w:rPr>
          <w:sz w:val="20"/>
          <w:szCs w:val="20"/>
          <w:color w:val="auto"/>
        </w:rPr>
      </w:pPr>
    </w:p>
    <w:p>
      <w:pPr>
        <w:jc w:val="both"/>
        <w:ind w:firstLine="656"/>
        <w:spacing w:after="0" w:line="245" w:lineRule="auto"/>
        <w:tabs>
          <w:tab w:leader="none" w:pos="939"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qualification, if the election of directors is a matter specified in the notice of meeting given by or at the direction of the person calling a special meeting, then for a stockholder to make any nomination of a person or persons for election to the Board of Directors at a special meeting, the stockholder must (A) provide timely notice thereof in writing and in proper form to the Secretary of the Corporation at the principal executive offices of the Corporation, (B) provide the information with respect to each Nominating Person and its candidate for nomination as required by this Section 2.5 and Section 2.6 and (C) provide any updates or supplements to such notice at the times and in the forms required by this Section 2.5. To be timely, a stockholder’s notice for nominations to be made at a special meeting must be delivered to, or mailed and received at, the principal executive offices of the Corporation not earlier than the one hundred twentieth (120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day prior to such special meeting and not later than the ninetieth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day prior to such special meeting or, if later, the tenth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day following the day on which public disclosure (as defined in Section 2.4) of the date of such special meeting was first made (such notice within such time periods, “</w:t>
      </w:r>
      <w:r>
        <w:rPr>
          <w:rFonts w:ascii="Times New Roman" w:cs="Times New Roman" w:eastAsia="Times New Roman" w:hAnsi="Times New Roman"/>
          <w:sz w:val="20"/>
          <w:szCs w:val="20"/>
          <w:u w:val="single" w:color="auto"/>
          <w:color w:val="auto"/>
        </w:rPr>
        <w:t>Special Meeting Timely Notice</w:t>
      </w:r>
      <w:r>
        <w:rPr>
          <w:rFonts w:ascii="Times New Roman" w:cs="Times New Roman" w:eastAsia="Times New Roman" w:hAnsi="Times New Roman"/>
          <w:sz w:val="20"/>
          <w:szCs w:val="20"/>
          <w:color w:val="auto"/>
        </w:rPr>
        <w:t>”).</w:t>
      </w:r>
    </w:p>
    <w:p>
      <w:pPr>
        <w:spacing w:after="0" w:line="77" w:lineRule="exact"/>
        <w:rPr>
          <w:rFonts w:ascii="Times New Roman" w:cs="Times New Roman" w:eastAsia="Times New Roman" w:hAnsi="Times New Roman"/>
          <w:sz w:val="20"/>
          <w:szCs w:val="20"/>
          <w:color w:val="auto"/>
        </w:rPr>
      </w:pPr>
    </w:p>
    <w:p>
      <w:pPr>
        <w:ind w:right="20" w:firstLine="656"/>
        <w:spacing w:after="0" w:line="283" w:lineRule="auto"/>
        <w:tabs>
          <w:tab w:leader="none" w:pos="1021"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 event shall any adjournment or postponement of an annual meeting or special meeting or the announcement thereof commence a new time period (or extend any time period) for the giving of a stockholder’s notice as described above.</w:t>
      </w:r>
    </w:p>
    <w:p>
      <w:pPr>
        <w:spacing w:after="0" w:line="38" w:lineRule="exact"/>
        <w:rPr>
          <w:rFonts w:ascii="Times New Roman" w:cs="Times New Roman" w:eastAsia="Times New Roman" w:hAnsi="Times New Roman"/>
          <w:sz w:val="20"/>
          <w:szCs w:val="20"/>
          <w:color w:val="auto"/>
        </w:rPr>
      </w:pPr>
    </w:p>
    <w:p>
      <w:pPr>
        <w:jc w:val="both"/>
        <w:ind w:firstLine="656"/>
        <w:spacing w:after="0" w:line="257" w:lineRule="auto"/>
        <w:tabs>
          <w:tab w:leader="none" w:pos="983"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 event may a Nominating Person deliver a notice of nomination, as applicable, with respect to a greater number of director candidates than are subject to election by stockholders at the applicable meeting. If the Corporation shall, subsequent to such notice, increase the number of directors subject to election at the meeting, such notice as to any additional nominees shall be due on the later of (i) the conclusion of the time period for Timely Notice or Special Meeting Timely Notice, as applicable, or (ii) the tenth day following the date of public disclosure (as defined in Section 2.4) of such increase.</w:t>
      </w:r>
    </w:p>
    <w:p>
      <w:pPr>
        <w:spacing w:after="0" w:line="65" w:lineRule="exact"/>
        <w:rPr>
          <w:sz w:val="20"/>
          <w:szCs w:val="20"/>
          <w:color w:val="auto"/>
        </w:rPr>
      </w:pPr>
    </w:p>
    <w:p>
      <w:pPr>
        <w:ind w:left="1060" w:hanging="404"/>
        <w:spacing w:after="0"/>
        <w:tabs>
          <w:tab w:leader="none" w:pos="10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be in proper form for purposes of this Section 2.5, a stockholder’s notice to the Secretary shall set forth:</w:t>
      </w:r>
    </w:p>
    <w:p>
      <w:pPr>
        <w:spacing w:after="0" w:line="121"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05"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each Nominating Person, the Stockholder Information (as defined in Section 2.4(c)(i), except that for purposes of this Section 2.5 the term “</w:t>
      </w:r>
      <w:r>
        <w:rPr>
          <w:rFonts w:ascii="Times New Roman" w:cs="Times New Roman" w:eastAsia="Times New Roman" w:hAnsi="Times New Roman"/>
          <w:sz w:val="20"/>
          <w:szCs w:val="20"/>
          <w:u w:val="single" w:color="auto"/>
          <w:color w:val="auto"/>
        </w:rPr>
        <w:t>Nominating Person</w:t>
      </w:r>
      <w:r>
        <w:rPr>
          <w:rFonts w:ascii="Times New Roman" w:cs="Times New Roman" w:eastAsia="Times New Roman" w:hAnsi="Times New Roman"/>
          <w:sz w:val="20"/>
          <w:szCs w:val="20"/>
          <w:color w:val="auto"/>
        </w:rPr>
        <w:t>” shall be substituted for the term “Proposing Person” in all places it appears in Section 2.4(c)(i));</w:t>
      </w:r>
    </w:p>
    <w:p>
      <w:pPr>
        <w:spacing w:after="0" w:line="73"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776"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each Nominating Person, any Disclosable Interests (as defined in Section 2.4(c)(ii), except that for purposes of this Section 2.5 the term “</w:t>
      </w:r>
      <w:r>
        <w:rPr>
          <w:rFonts w:ascii="Times New Roman" w:cs="Times New Roman" w:eastAsia="Times New Roman" w:hAnsi="Times New Roman"/>
          <w:sz w:val="20"/>
          <w:szCs w:val="20"/>
          <w:u w:val="single" w:color="auto"/>
          <w:color w:val="auto"/>
        </w:rPr>
        <w:t>Nominating Person</w:t>
      </w:r>
      <w:r>
        <w:rPr>
          <w:rFonts w:ascii="Times New Roman" w:cs="Times New Roman" w:eastAsia="Times New Roman" w:hAnsi="Times New Roman"/>
          <w:sz w:val="20"/>
          <w:szCs w:val="20"/>
          <w:color w:val="auto"/>
        </w:rPr>
        <w:t>” shall be substituted for the term “</w:t>
      </w:r>
      <w:r>
        <w:rPr>
          <w:rFonts w:ascii="Times New Roman" w:cs="Times New Roman" w:eastAsia="Times New Roman" w:hAnsi="Times New Roman"/>
          <w:sz w:val="20"/>
          <w:szCs w:val="20"/>
          <w:u w:val="single" w:color="auto"/>
          <w:color w:val="auto"/>
        </w:rPr>
        <w:t>Proposing Person</w:t>
      </w:r>
      <w:r>
        <w:rPr>
          <w:rFonts w:ascii="Times New Roman" w:cs="Times New Roman" w:eastAsia="Times New Roman" w:hAnsi="Times New Roman"/>
          <w:sz w:val="20"/>
          <w:szCs w:val="20"/>
          <w:color w:val="auto"/>
        </w:rPr>
        <w:t>” in all places it appears in Section 2.4(c)(ii) and the disclosure with respect to the business to be brought before the meeting in Section 2.4(c)(ii) shall be made with respect to the nomination proposed to be made at the meeting); and provided that, in lieu of including the information set forth in Section 2.4(c)(ii)(G), the Nominating Person’s notice for purposes of this Section 2.5 shall include a representation as to whether the Nominating Person intends or is part of a group that intends to deliver a proxy statement and solicit the holders of shares representing at least 67% of the voting power of shares entitled to vote on the election of directors in support of director nominees other than the Corporation’s nominees in accordance with Rule 14a-19 promulgated under the Exchange Act; and</w:t>
      </w:r>
    </w:p>
    <w:p>
      <w:pPr>
        <w:spacing w:after="0" w:line="73" w:lineRule="exact"/>
        <w:rPr>
          <w:rFonts w:ascii="Times New Roman" w:cs="Times New Roman" w:eastAsia="Times New Roman" w:hAnsi="Times New Roman"/>
          <w:sz w:val="20"/>
          <w:szCs w:val="20"/>
          <w:color w:val="auto"/>
        </w:rPr>
      </w:pPr>
    </w:p>
    <w:p>
      <w:pPr>
        <w:jc w:val="both"/>
        <w:ind w:left="660" w:firstLine="644"/>
        <w:spacing w:after="0" w:line="257" w:lineRule="auto"/>
        <w:tabs>
          <w:tab w:leader="none" w:pos="1833"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each candidate whom a Nominating Person proposes to nominate for election as a director, (A)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a proxy statement and accompanying proxy card relating to the Corporation’s next meeting of</w:t>
      </w:r>
    </w:p>
    <w:p>
      <w:pPr>
        <w:sectPr>
          <w:pgSz w:w="11900" w:h="16838" w:orient="portrait"/>
          <w:cols w:equalWidth="0" w:num="1">
            <w:col w:w="11240"/>
          </w:cols>
          <w:pgMar w:left="320" w:top="1413" w:right="339" w:bottom="1440" w:gutter="0" w:footer="0" w:header="0"/>
        </w:sectPr>
      </w:pPr>
    </w:p>
    <w:bookmarkStart w:id="29" w:name="page30"/>
    <w:bookmarkEnd w:id="29"/>
    <w:p>
      <w:pPr>
        <w:jc w:val="both"/>
        <w:ind w:left="660"/>
        <w:spacing w:after="0" w:line="251" w:lineRule="auto"/>
        <w:rPr>
          <w:sz w:val="20"/>
          <w:szCs w:val="20"/>
          <w:color w:val="auto"/>
        </w:rPr>
      </w:pPr>
      <w:r>
        <w:rPr>
          <w:rFonts w:ascii="Times New Roman" w:cs="Times New Roman" w:eastAsia="Times New Roman" w:hAnsi="Times New Roman"/>
          <w:sz w:val="20"/>
          <w:szCs w:val="20"/>
          <w:color w:val="auto"/>
        </w:rPr>
        <w:t>stockholders at which directors are to be elected and to serving as a director for a full term if elected), and (B) a description of any direct or indirect material interest in any material contract or agreement between or among any Nominating Person, on the one hand, and each candidate for nomination or his or her respective associates (as defined in Rule 14a-1(a) promulgated under the Exchange Act) or any other participants (as defined in paragraphs (a)(ii)-(vi) of Instruction 3 to Item 4 of Schedule 14A)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and (C) a completed and signed questionnaire, representation and agreement as provided in Section 2.6(a).</w:t>
      </w:r>
    </w:p>
    <w:p>
      <w:pPr>
        <w:spacing w:after="0" w:line="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For purposes of this Section 2.5, the term “</w:t>
      </w:r>
      <w:r>
        <w:rPr>
          <w:rFonts w:ascii="Times New Roman" w:cs="Times New Roman" w:eastAsia="Times New Roman" w:hAnsi="Times New Roman"/>
          <w:sz w:val="20"/>
          <w:szCs w:val="20"/>
          <w:u w:val="single" w:color="auto"/>
          <w:color w:val="auto"/>
        </w:rPr>
        <w:t>Nominating Person</w:t>
      </w:r>
      <w:r>
        <w:rPr>
          <w:rFonts w:ascii="Times New Roman" w:cs="Times New Roman" w:eastAsia="Times New Roman" w:hAnsi="Times New Roman"/>
          <w:sz w:val="20"/>
          <w:szCs w:val="20"/>
          <w:color w:val="auto"/>
        </w:rPr>
        <w:t>” shall mean (i) the stockholder providing the notice of the nomination proposed to be made at the meeting, (ii) the beneficial owner or beneficial owners, if different, on whose behalf the notice of the nomination proposed to be made at the meeting is made, and (iii) any participant (as defined in paragraphs (a)(ii)-(vi) of Instruction 3 to Item 4 of Schedule 14A) with such stockholder in such solicitation.</w:t>
      </w:r>
    </w:p>
    <w:p>
      <w:pPr>
        <w:spacing w:after="0" w:line="64" w:lineRule="exact"/>
        <w:rPr>
          <w:sz w:val="20"/>
          <w:szCs w:val="20"/>
          <w:color w:val="auto"/>
        </w:rPr>
      </w:pPr>
    </w:p>
    <w:p>
      <w:pPr>
        <w:jc w:val="both"/>
        <w:ind w:firstLine="893"/>
        <w:spacing w:after="0" w:line="261" w:lineRule="auto"/>
        <w:tabs>
          <w:tab w:leader="none" w:pos="1349"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of Directors may request that any Nominating Person furnish such additional information as may be reasonably required by the Board of Directors. Such Nominating Person shall provide such additional information within ten (10) days after it has been requested by the Board of Directors.</w:t>
      </w:r>
    </w:p>
    <w:p>
      <w:pPr>
        <w:spacing w:after="0" w:line="73" w:lineRule="exact"/>
        <w:rPr>
          <w:rFonts w:ascii="Times New Roman" w:cs="Times New Roman" w:eastAsia="Times New Roman" w:hAnsi="Times New Roman"/>
          <w:sz w:val="20"/>
          <w:szCs w:val="20"/>
          <w:color w:val="auto"/>
        </w:rPr>
      </w:pPr>
    </w:p>
    <w:p>
      <w:pPr>
        <w:jc w:val="both"/>
        <w:ind w:firstLine="854"/>
        <w:spacing w:after="0" w:line="250" w:lineRule="auto"/>
        <w:tabs>
          <w:tab w:leader="none" w:pos="1252"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stockholder providing notice of any nomination proposed to be made at a meeting shall further update and supplement such notice or the materials delivered pursuant to this Section 2.5, as applicable, if necessary, so that the information provided or required to be provided in such notice pursuant to this Section 2.5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including by changing or adding nominees, or to submit any new nomination, or submit any new proposal, matters, business or resolutions proposed to be brought before a meeting of the stockholders.</w:t>
      </w:r>
    </w:p>
    <w:p>
      <w:pPr>
        <w:spacing w:after="0" w:line="75" w:lineRule="exact"/>
        <w:rPr>
          <w:sz w:val="20"/>
          <w:szCs w:val="20"/>
          <w:color w:val="auto"/>
        </w:rPr>
      </w:pPr>
    </w:p>
    <w:p>
      <w:pPr>
        <w:jc w:val="both"/>
        <w:ind w:firstLine="908"/>
        <w:spacing w:after="0" w:line="253" w:lineRule="auto"/>
        <w:tabs>
          <w:tab w:leader="none" w:pos="1349"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requirements of this Section 2.5 with respect to any nomination proposed to be made at a meeting, each Nominating Person shall comply with all applicable requirements of the Exchange Act with respect to any such nominations. Notwithstanding the foregoing provisions of this Section 2.5, unless otherwise required by law, (i) no Nominating Person shall solicit proxies in support of director nominees other than the Corporation’s nominees unless such Nominating Person has, or is part of a group that has, complied with Rule 14a-19 promulgated under the Exchange Act in connection with the solicitation of such proxies, including the provision to the Corporation of notices required thereunder, in accordance with the time frames required in this Section 2.5 or by Rule 14a-19 promulgated under the Exchange Act, as applicable, and (ii) if (1) any Nominating Person provides notice</w:t>
      </w:r>
    </w:p>
    <w:p>
      <w:pPr>
        <w:sectPr>
          <w:pgSz w:w="11900" w:h="16838" w:orient="portrait"/>
          <w:cols w:equalWidth="0" w:num="1">
            <w:col w:w="11240"/>
          </w:cols>
          <w:pgMar w:left="320" w:top="1413" w:right="339" w:bottom="1440" w:gutter="0" w:footer="0" w:header="0"/>
        </w:sectPr>
      </w:pPr>
    </w:p>
    <w:bookmarkStart w:id="30" w:name="page31"/>
    <w:bookmarkEnd w:id="30"/>
    <w:p>
      <w:pPr>
        <w:jc w:val="both"/>
        <w:spacing w:after="0" w:line="265" w:lineRule="auto"/>
        <w:rPr>
          <w:sz w:val="20"/>
          <w:szCs w:val="20"/>
          <w:color w:val="auto"/>
        </w:rPr>
      </w:pPr>
      <w:r>
        <w:rPr>
          <w:rFonts w:ascii="Times New Roman" w:cs="Times New Roman" w:eastAsia="Times New Roman" w:hAnsi="Times New Roman"/>
          <w:sz w:val="19"/>
          <w:szCs w:val="19"/>
          <w:color w:val="auto"/>
        </w:rPr>
        <w:t>in accordance with Rule 14a-19(b) promulgated under the Exchange Act and (2) (x) such notice in accordance with Rule 14a-19(b) is not provided within the time period for Timely Notice or Special Meeting Timely Notice, as applicable, (y) such Nominating Person subsequently fails to comply with the requirements of Rule 14a-19(a)(2) or Rule 14a-19(a)(3) promulgated under the Exchange Act or (z) such Nominating Person fails to timely provide reasonable evidence sufficient to satisfy the Corporation that such Nominating Person has met the requirements of Rule 14a-19(a)(3) promulgated under the Exchange Act in accordance with the following sentence, then the nomination of such Nominating Person’s proposed nominees shall be disregarded, notwithstanding that each such nominee is included as a nominee in the Corporation’s proxy statement, notice of meeting or other proxy materials for any meeting of stockholders (or any supplement thereto) and notwithstanding that proxies or votes in respect of the election of such proposed nominees may have been received by the Corporation (which proxies and votes shall be disregarded). If any Nominating Person provides notice in accordance with Rule 14a-19(b) promulgated under the Exchange Act, such Nominating Person shall deliver to the Corporation, no later than seven (7) business days prior to the applicable meeting, reasonable evidence that it has met the requirements of Rule 14a-19(a)(3) promulgated under the Exchange Act.</w:t>
      </w:r>
    </w:p>
    <w:p>
      <w:pPr>
        <w:spacing w:after="0" w:line="7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19"/>
          <w:szCs w:val="19"/>
          <w:u w:val="single" w:color="auto"/>
          <w:color w:val="auto"/>
        </w:rPr>
        <w:t>Additional Requirements for Valid Nomination of Candidates to Serve as Director and, if Elected, to be Seated as Directors.</w:t>
      </w:r>
    </w:p>
    <w:p>
      <w:pPr>
        <w:spacing w:after="0" w:line="216" w:lineRule="exact"/>
        <w:rPr>
          <w:sz w:val="20"/>
          <w:szCs w:val="20"/>
          <w:color w:val="auto"/>
        </w:rPr>
      </w:pPr>
    </w:p>
    <w:p>
      <w:pPr>
        <w:jc w:val="both"/>
        <w:ind w:firstLine="656"/>
        <w:spacing w:after="0" w:line="264" w:lineRule="auto"/>
        <w:tabs>
          <w:tab w:leader="none" w:pos="1068" w:val="left"/>
        </w:tabs>
        <w:numPr>
          <w:ilvl w:val="1"/>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be eligible to be a candidate for election as a director of the Corporation at an annual or special meeting, a candidate must be nominated in the manner prescribed in Section 2.5 and the candidate for nomination, whether nominated by the Board of Directors or by a stockholder of record, must have previously delivered</w:t>
      </w:r>
      <w:r>
        <w:rPr>
          <w:rFonts w:ascii="Times New Roman" w:cs="Times New Roman" w:eastAsia="Times New Roman" w:hAnsi="Times New Roman"/>
          <w:sz w:val="19"/>
          <w:szCs w:val="19"/>
          <w:b w:val="1"/>
          <w:bCs w:val="1"/>
          <w:u w:val="single" w:color="auto"/>
          <w:color w:val="auto"/>
        </w:rPr>
        <w:t>,</w:t>
      </w:r>
      <w:r>
        <w:rPr>
          <w:rFonts w:ascii="Times New Roman" w:cs="Times New Roman" w:eastAsia="Times New Roman" w:hAnsi="Times New Roman"/>
          <w:sz w:val="19"/>
          <w:szCs w:val="19"/>
          <w:color w:val="auto"/>
        </w:rPr>
        <w:t xml:space="preserve"> to the Secretary at the principal executive offices of the Corporation, (i) a completed written questionnaire (in the form provided by the Corporation within ten (10) days upon written request of any stockholder of record therefor) with respect to the background, qualifications, stock ownership and independence of such proposed nominee and (ii) a written representation and agreement (in the form provided by the Corporation within ten (10) days upon written request of any stockholder of record therefor) that such candidate for nomination (</w:t>
      </w:r>
      <w:r>
        <w:rPr>
          <w:rFonts w:ascii="Times New Roman" w:cs="Times New Roman" w:eastAsia="Times New Roman" w:hAnsi="Times New Roman"/>
          <w:sz w:val="19"/>
          <w:szCs w:val="19"/>
          <w:u w:val="single" w:color="auto"/>
          <w:color w:val="auto"/>
        </w:rPr>
        <w:t>A</w:t>
      </w:r>
      <w:r>
        <w:rPr>
          <w:rFonts w:ascii="Times New Roman" w:cs="Times New Roman" w:eastAsia="Times New Roman" w:hAnsi="Times New Roman"/>
          <w:sz w:val="19"/>
          <w:szCs w:val="19"/>
          <w:color w:val="auto"/>
        </w:rPr>
        <w:t>) is not and, if elected as a director during his or her term of office, will not become a party to</w:t>
      </w:r>
    </w:p>
    <w:p>
      <w:pPr>
        <w:ind w:left="300" w:hanging="292"/>
        <w:spacing w:after="0"/>
        <w:tabs>
          <w:tab w:leader="none" w:pos="3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agreement, arrangement or understanding with, and has not given and will not give any commitment or assurance to, any person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2242820</wp:posOffset>
            </wp:positionH>
            <wp:positionV relativeFrom="paragraph">
              <wp:posOffset>-779145</wp:posOffset>
            </wp:positionV>
            <wp:extent cx="31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jc w:val="both"/>
        <w:spacing w:after="0" w:line="248" w:lineRule="auto"/>
        <w:rPr>
          <w:sz w:val="20"/>
          <w:szCs w:val="20"/>
          <w:color w:val="auto"/>
        </w:rPr>
      </w:pPr>
      <w:r>
        <w:rPr>
          <w:rFonts w:ascii="Times New Roman" w:cs="Times New Roman" w:eastAsia="Times New Roman" w:hAnsi="Times New Roman"/>
          <w:sz w:val="20"/>
          <w:szCs w:val="20"/>
          <w:color w:val="auto"/>
        </w:rPr>
        <w:t>entity as to how such proposed nominee, if elected as a director of the Corporation, will act or vote on any issue or question (a “</w:t>
      </w:r>
      <w:r>
        <w:rPr>
          <w:rFonts w:ascii="Times New Roman" w:cs="Times New Roman" w:eastAsia="Times New Roman" w:hAnsi="Times New Roman"/>
          <w:sz w:val="20"/>
          <w:szCs w:val="20"/>
          <w:u w:val="single" w:color="auto"/>
          <w:color w:val="auto"/>
        </w:rPr>
        <w:t>Voting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that has not been disclosed to the Corporation, (C)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 then in effect), and (D) if elected as a director of the Corporation, intends to serve the entire term until the next meeting at which such candidate would face re-election.</w:t>
      </w:r>
    </w:p>
    <w:p>
      <w:pPr>
        <w:spacing w:after="0" w:line="92" w:lineRule="exact"/>
        <w:rPr>
          <w:sz w:val="20"/>
          <w:szCs w:val="20"/>
          <w:color w:val="auto"/>
        </w:rPr>
      </w:pPr>
    </w:p>
    <w:p>
      <w:pPr>
        <w:jc w:val="both"/>
        <w:ind w:firstLine="656"/>
        <w:spacing w:after="0" w:line="253" w:lineRule="auto"/>
        <w:tabs>
          <w:tab w:leader="none" w:pos="109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of Directors may also require any proposed candidate for nomination as a director to furnish such other information related to such candidate’s eligibility or qualification to serve as a director as may reasonably be requested by the Board of Directors in writing prior to the meeting of stockholders at which such candidate’s nomination is to be acted upon. Without limiting the generality of the foregoing, the Board of Directors may request such other information in order for the Board of Directors to determine the eligibility of such candidate for nomination to be an independent director of the</w:t>
      </w:r>
    </w:p>
    <w:p>
      <w:pPr>
        <w:sectPr>
          <w:pgSz w:w="11900" w:h="16838" w:orient="portrait"/>
          <w:cols w:equalWidth="0" w:num="1">
            <w:col w:w="11240"/>
          </w:cols>
          <w:pgMar w:left="320" w:top="1413" w:right="339" w:bottom="1440" w:gutter="0" w:footer="0" w:header="0"/>
        </w:sectPr>
      </w:pPr>
    </w:p>
    <w:bookmarkStart w:id="31" w:name="page32"/>
    <w:bookmarkEnd w:id="31"/>
    <w:p>
      <w:pPr>
        <w:jc w:val="both"/>
        <w:spacing w:after="0" w:line="258" w:lineRule="auto"/>
        <w:rPr>
          <w:sz w:val="20"/>
          <w:szCs w:val="20"/>
          <w:color w:val="auto"/>
        </w:rPr>
      </w:pPr>
      <w:r>
        <w:rPr>
          <w:rFonts w:ascii="Times New Roman" w:cs="Times New Roman" w:eastAsia="Times New Roman" w:hAnsi="Times New Roman"/>
          <w:sz w:val="20"/>
          <w:szCs w:val="20"/>
          <w:color w:val="auto"/>
        </w:rPr>
        <w:t>Corporation or to comply with the director qualification standards and additional selection criteria in accordance with the Corporation’s Corporate Governance Guidelines. Such other information shall be delivered to, or mailed and received by, the Secretary at the principal executive offices of the Corporation not later than five (5) business days after the request by the Board of Directors has been delivered to, or mailed and received by, the Nominating Person</w:t>
      </w:r>
      <w:r>
        <w:rPr>
          <w:rFonts w:ascii="Times New Roman" w:cs="Times New Roman" w:eastAsia="Times New Roman" w:hAnsi="Times New Roman"/>
          <w:sz w:val="20"/>
          <w:szCs w:val="20"/>
          <w:b w:val="1"/>
          <w:bCs w:val="1"/>
          <w:color w:val="auto"/>
        </w:rPr>
        <w:t>.</w:t>
      </w:r>
    </w:p>
    <w:p>
      <w:pPr>
        <w:spacing w:after="0" w:line="64" w:lineRule="exact"/>
        <w:rPr>
          <w:sz w:val="20"/>
          <w:szCs w:val="20"/>
          <w:color w:val="auto"/>
        </w:rPr>
      </w:pPr>
    </w:p>
    <w:p>
      <w:pPr>
        <w:jc w:val="both"/>
        <w:ind w:firstLine="656"/>
        <w:spacing w:after="0" w:line="251" w:lineRule="auto"/>
        <w:tabs>
          <w:tab w:leader="none" w:pos="1113"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candidate for nomination as a director shall further update and supplement the materials delivered pursuant to this Section 2.6, if necessary, so that the information provided or required to be provided pursuant to this Section 2.6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proposal, including by changing or adding nominees, matters, business or resolutions proposed to be brought before a meeting of the stockholders.</w:t>
      </w:r>
    </w:p>
    <w:p>
      <w:pPr>
        <w:spacing w:after="0" w:line="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126"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candidate nominated pursuant to Section 2.5(a)(ii) shall be eligible for nomination as a director of the Corporation unless such candidate for nomination and the Nominating Person seeking to place such candidate’s name in nomination has complied with Section 2.5 and this Section 2.6, as applicable. The presiding officer at the meeting shall, if the facts warrant, determine that a nomination was not properly made in accordance with Section 2.5 and this Section 2.6,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spacing w:after="0" w:line="71" w:lineRule="exact"/>
        <w:rPr>
          <w:rFonts w:ascii="Times New Roman" w:cs="Times New Roman" w:eastAsia="Times New Roman" w:hAnsi="Times New Roman"/>
          <w:sz w:val="20"/>
          <w:szCs w:val="20"/>
          <w:color w:val="auto"/>
        </w:rPr>
      </w:pPr>
    </w:p>
    <w:p>
      <w:pPr>
        <w:ind w:firstLine="656"/>
        <w:spacing w:after="0" w:line="283" w:lineRule="auto"/>
        <w:tabs>
          <w:tab w:leader="none" w:pos="1176"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these Bylaws to the contrary, no candidate for nomination shall be eligible to be seated as a director of the Corporation unless nominated in accordance with Section 2.5 and this Section 2.6 and elected as a director.</w:t>
      </w:r>
    </w:p>
    <w:p>
      <w:pPr>
        <w:spacing w:after="0" w:line="3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2.7</w:t>
      </w:r>
      <w:r>
        <w:rPr>
          <w:sz w:val="20"/>
          <w:szCs w:val="20"/>
          <w:color w:val="auto"/>
        </w:rPr>
        <w:tab/>
      </w:r>
      <w:r>
        <w:rPr>
          <w:rFonts w:ascii="Times New Roman" w:cs="Times New Roman" w:eastAsia="Times New Roman" w:hAnsi="Times New Roman"/>
          <w:sz w:val="19"/>
          <w:szCs w:val="19"/>
          <w:u w:val="single" w:color="auto"/>
          <w:color w:val="auto"/>
        </w:rPr>
        <w:t>Notice of Stockholders’ Meetings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Unless otherwise provided by law, the Certificate of Incorporation or these bylaws, the notice of any meeting of stockholders shall be sent or otherwise given in accordance with Section 8.1 of these bylaws not less than ten (10) nor more than sixty (60) days before the date of the meeting to each stockholder entitled to vote at such meeting. The notice shall specify the place, if any, date and time of the meeting, the means of remote communication, if any, by which stockholders and proxy holders may be deemed to be present in person and vote at such meeting, and, in the case of a special meeting of stockholders, the purpose or purposes for which such meeting is called.</w:t>
      </w:r>
    </w:p>
    <w:p>
      <w:pPr>
        <w:sectPr>
          <w:pgSz w:w="11900" w:h="16838" w:orient="portrait"/>
          <w:cols w:equalWidth="0" w:num="1">
            <w:col w:w="11240"/>
          </w:cols>
          <w:pgMar w:left="320" w:top="1413" w:right="339" w:bottom="1440" w:gutter="0" w:footer="0" w:header="0"/>
        </w:sectPr>
      </w:pPr>
    </w:p>
    <w:bookmarkStart w:id="32" w:name="page33"/>
    <w:bookmarkEnd w:id="32"/>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20"/>
          <w:szCs w:val="20"/>
          <w:u w:val="single" w:color="auto"/>
          <w:color w:val="auto"/>
        </w:rPr>
        <w:t>Quorum</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Unless otherwise provided by law, the Certificate of Incorporation or these bylaws, the holders of a majority in voting power of the stock issued and outstanding and entitled to vote, present in person, or by remote communication, if applicable, or represented by proxy, shall constitute a quorum for the transaction of business at all meetings of stockholders. A quorum, once established at a meeting, shall not be broken by the withdrawal of enough votes to leave less than a quorum. If, however, a quorum is not present or represented at any meeting of stockholders, then either (i) the person presiding over the meeting or (ii) a majority in voting power of the stockholders entitled to vote at the meeting, present in person, or by remote communication, if applicable, or represented by proxy, shall have power to recess the meeting or adjourn the meeting from time to time in the manner provided in Section 2.9 of these bylaws until a quorum is present or represented. At any recessed or adjourned meeting at which a quorum is present or represented, any business may be transacted that might have been transacted at the meeting as originally noticed.</w:t>
      </w:r>
    </w:p>
    <w:p>
      <w:pPr>
        <w:spacing w:after="0" w:line="8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2.9</w:t>
      </w:r>
      <w:r>
        <w:rPr>
          <w:sz w:val="20"/>
          <w:szCs w:val="20"/>
          <w:color w:val="auto"/>
        </w:rPr>
        <w:tab/>
      </w:r>
      <w:r>
        <w:rPr>
          <w:rFonts w:ascii="Times New Roman" w:cs="Times New Roman" w:eastAsia="Times New Roman" w:hAnsi="Times New Roman"/>
          <w:sz w:val="19"/>
          <w:szCs w:val="19"/>
          <w:u w:val="single" w:color="auto"/>
          <w:color w:val="auto"/>
        </w:rPr>
        <w:t>Adjourned Meeting; Notice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or are provided in any other manner permitted by the DGCL. At any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meeting as of the record date so fixed for notice of such adjourned meeting.</w:t>
      </w:r>
    </w:p>
    <w:p>
      <w:pPr>
        <w:spacing w:after="0" w:line="7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19"/>
          <w:szCs w:val="19"/>
          <w:u w:val="single" w:color="auto"/>
          <w:color w:val="auto"/>
        </w:rPr>
        <w:t>Conduct of Business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person presiding over the meeting, may include, without limitation, the following: (i) the establishment of an agenda or order of business for the meeting; (ii) rules and procedures for maintaining order at the meeting and the safety of those present (including, without limitation, rules and procedures for removal of disruptive persons from the meeting); (iii) limitations on attendance at or participation in the meeting to stockholders entitled to vote at the meeting, their duly authorized and constituted proxies or such other persons as the person presiding over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w:t>
      </w:r>
    </w:p>
    <w:p>
      <w:pPr>
        <w:sectPr>
          <w:pgSz w:w="11900" w:h="16838" w:orient="portrait"/>
          <w:cols w:equalWidth="0" w:num="1">
            <w:col w:w="11240"/>
          </w:cols>
          <w:pgMar w:left="320" w:top="1413" w:right="339" w:bottom="1440" w:gutter="0" w:footer="0" w:header="0"/>
        </w:sectPr>
      </w:pPr>
    </w:p>
    <w:bookmarkStart w:id="33" w:name="page34"/>
    <w:bookmarkEnd w:id="33"/>
    <w:p>
      <w:pPr>
        <w:jc w:val="both"/>
        <w:spacing w:after="0" w:line="253" w:lineRule="auto"/>
        <w:rPr>
          <w:sz w:val="20"/>
          <w:szCs w:val="20"/>
          <w:color w:val="auto"/>
        </w:rPr>
      </w:pPr>
      <w:r>
        <w:rPr>
          <w:rFonts w:ascii="Times New Roman" w:cs="Times New Roman" w:eastAsia="Times New Roman" w:hAnsi="Times New Roman"/>
          <w:sz w:val="20"/>
          <w:szCs w:val="20"/>
          <w:color w:val="auto"/>
        </w:rPr>
        <w:t>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facts warrant, determine and declare to the meeting that a matter of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7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Except as otherwise provided by the Certificate of Incorporation, at all duly called or convened meetings of stockholders at which a quorum is present, for the election of directors, a plurality of the votes cast shall be sufficient to elect a director. Except as otherwise provided by the Certificate of Incorporation, these bylaws, the rules or regulations of any stock exchange applicable to the Corporation, or applicable law or pursuant to any regulation applicable to the Corporation or its securities, each other matter presented to the stockholders at a duly called or convened meeting at which a quorum is present shall be decided by the affirmative vote of the holders of a majority in voting power of the votes cast (excluding abstentions and broker non-votes) on such matter.</w:t>
      </w:r>
    </w:p>
    <w:p>
      <w:pPr>
        <w:spacing w:after="0" w:line="7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u w:val="single" w:color="auto"/>
          <w:color w:val="auto"/>
        </w:rPr>
        <w:t>Record Date for Stockholder Meetings and Other Purposes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days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thereto.</w:t>
      </w:r>
    </w:p>
    <w:p>
      <w:pPr>
        <w:sectPr>
          <w:pgSz w:w="11900" w:h="16838" w:orient="portrait"/>
          <w:cols w:equalWidth="0" w:num="1">
            <w:col w:w="11240"/>
          </w:cols>
          <w:pgMar w:left="320" w:top="1413" w:right="339" w:bottom="1440" w:gutter="0" w:footer="0" w:header="0"/>
        </w:sectPr>
      </w:pPr>
    </w:p>
    <w:bookmarkStart w:id="34" w:name="page35"/>
    <w:bookmarkEnd w:id="34"/>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2.13</w:t>
      </w:r>
      <w:r>
        <w:rPr>
          <w:sz w:val="20"/>
          <w:szCs w:val="20"/>
          <w:color w:val="auto"/>
        </w:rPr>
        <w:tab/>
      </w:r>
      <w:r>
        <w:rPr>
          <w:rFonts w:ascii="Times New Roman" w:cs="Times New Roman" w:eastAsia="Times New Roman" w:hAnsi="Times New Roman"/>
          <w:sz w:val="19"/>
          <w:szCs w:val="19"/>
          <w:u w:val="single" w:color="auto"/>
          <w:color w:val="auto"/>
        </w:rPr>
        <w:t>Proxies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Each stockholder entitled to vote at a meeting of stockholders may authorize another person or persons to act for such stockholder by proxy authorized by an instrument in writing or by a transmission permitted by law, including Rule 14a-19 promulgated under the Exchange Act, filed in accordance with the procedure established for the meeting,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an electronic transmission which sets forth or is submitted with information from which it can be determined that the transmission was authorized by the stockholder.</w:t>
      </w:r>
    </w:p>
    <w:p>
      <w:pPr>
        <w:spacing w:after="0" w:line="71"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Any stockholder directly or indirectly soliciting proxies from other stockholders must use a proxy card color other than white, which shall be reserved for the exclusive use by the Board.</w:t>
      </w:r>
    </w:p>
    <w:p>
      <w:pPr>
        <w:spacing w:after="0" w:line="3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19"/>
          <w:szCs w:val="19"/>
          <w:u w:val="single" w:color="auto"/>
          <w:color w:val="auto"/>
        </w:rPr>
        <w:t>List of Stockholders Entitled to Vote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The Corporation shall prepare, no later than the tenth day before each meeting of stockholders, a complete list of the stockholders entitled to vote at the meeting (provided, however, that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ten (10) days ending on the day before the meeting date: (i) on a reasonably accessible electronic network, provided that 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Such list shall presumptively determine the identity of the stockholders entitled to vote at the meeting and the number of shares held by each of them. Except as otherwise provided by law, the stock ledger shall be the only evidence as to who are the stockholders entitled to examine the list of stockholders required by this Section 2.14 or to vote in person or by proxy at any meeting of stockholders.</w:t>
      </w:r>
    </w:p>
    <w:p>
      <w:pPr>
        <w:spacing w:after="0" w:line="8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2.15</w:t>
      </w:r>
      <w:r>
        <w:rPr>
          <w:sz w:val="20"/>
          <w:szCs w:val="20"/>
          <w:color w:val="auto"/>
        </w:rPr>
        <w:tab/>
      </w:r>
      <w:r>
        <w:rPr>
          <w:rFonts w:ascii="Times New Roman" w:cs="Times New Roman" w:eastAsia="Times New Roman" w:hAnsi="Times New Roman"/>
          <w:sz w:val="19"/>
          <w:szCs w:val="19"/>
          <w:u w:val="single" w:color="auto"/>
          <w:color w:val="auto"/>
        </w:rPr>
        <w:t>Inspectors of Election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Before any meeting of stockholders, the Corporation shall appoint an inspector or inspectors of election to act at the meeting or its adjournment and make a written report thereof. The Corporation may designate one or more persons as alternate inspectors to replace any inspector who fails to act. If any person appointed as inspector or any alternate fails to appear or fails or refuses to act, then the person presiding over the meeting shall appoint a person to fill that vacancy.</w:t>
      </w:r>
    </w:p>
    <w:p>
      <w:pPr>
        <w:spacing w:after="0" w:line="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Such inspectors shall:</w:t>
      </w:r>
    </w:p>
    <w:p>
      <w:pPr>
        <w:spacing w:after="0" w:line="162" w:lineRule="exact"/>
        <w:rPr>
          <w:sz w:val="20"/>
          <w:szCs w:val="20"/>
          <w:color w:val="auto"/>
        </w:rPr>
      </w:pPr>
    </w:p>
    <w:p>
      <w:pPr>
        <w:ind w:firstLine="1304"/>
        <w:spacing w:after="0" w:line="283" w:lineRule="auto"/>
        <w:tabs>
          <w:tab w:leader="none" w:pos="177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number of shares outstanding and the voting power of each, the number of shares represented at the meeting and the validity of any proxies and ballots;</w:t>
      </w:r>
    </w:p>
    <w:p>
      <w:pPr>
        <w:spacing w:after="0" w:line="9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 all votes or ballots;</w:t>
      </w:r>
    </w:p>
    <w:p>
      <w:pPr>
        <w:spacing w:after="0" w:line="175" w:lineRule="exact"/>
        <w:rPr>
          <w:rFonts w:ascii="Times New Roman" w:cs="Times New Roman" w:eastAsia="Times New Roman" w:hAnsi="Times New Roman"/>
          <w:sz w:val="20"/>
          <w:szCs w:val="20"/>
          <w:color w:val="auto"/>
        </w:rPr>
      </w:pPr>
    </w:p>
    <w:p>
      <w:pPr>
        <w:ind w:left="1800" w:hanging="496"/>
        <w:spacing w:after="0"/>
        <w:tabs>
          <w:tab w:leader="none" w:pos="18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 and tabulate all votes;</w:t>
      </w:r>
    </w:p>
    <w:p>
      <w:pPr>
        <w:spacing w:after="0" w:line="175" w:lineRule="exact"/>
        <w:rPr>
          <w:rFonts w:ascii="Times New Roman" w:cs="Times New Roman" w:eastAsia="Times New Roman" w:hAnsi="Times New Roman"/>
          <w:sz w:val="20"/>
          <w:szCs w:val="20"/>
          <w:color w:val="auto"/>
        </w:rPr>
      </w:pPr>
    </w:p>
    <w:p>
      <w:pPr>
        <w:ind w:firstLine="1304"/>
        <w:spacing w:after="0" w:line="269" w:lineRule="auto"/>
        <w:tabs>
          <w:tab w:leader="none" w:pos="182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and retain for a reasonable period a record of the disposition of any challenges made to any determination by the inspector(s); and</w:t>
      </w:r>
    </w:p>
    <w:p>
      <w:pPr>
        <w:sectPr>
          <w:pgSz w:w="11900" w:h="16838" w:orient="portrait"/>
          <w:cols w:equalWidth="0" w:num="1">
            <w:col w:w="11240"/>
          </w:cols>
          <w:pgMar w:left="320" w:top="1413" w:right="339" w:bottom="1440" w:gutter="0" w:footer="0" w:header="0"/>
        </w:sectPr>
      </w:pPr>
    </w:p>
    <w:bookmarkStart w:id="35" w:name="page36"/>
    <w:bookmarkEnd w:id="35"/>
    <w:p>
      <w:pPr>
        <w:ind w:left="1780" w:hanging="476"/>
        <w:spacing w:after="0"/>
        <w:tabs>
          <w:tab w:leader="none" w:pos="17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certify its or their determination of the number of shares represented at the meeting and its or their count of all votes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ballots.</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Each inspector, before entering upon the discharge of the duties of inspector, shall take and sign an oath faithfully to execute the duties of inspection with strict impartiality and according to the best of such inspector’s ability. Any report or certificate made by the inspectors of election is prima facie evidence of the facts stated therein. The inspectors of election may appoint such persons to assist them in performing their duties as they determine.</w:t>
      </w:r>
    </w:p>
    <w:p>
      <w:pPr>
        <w:spacing w:after="0" w:line="7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2.16</w:t>
      </w:r>
      <w:r>
        <w:rPr>
          <w:sz w:val="20"/>
          <w:szCs w:val="20"/>
          <w:color w:val="auto"/>
        </w:rPr>
        <w:tab/>
      </w:r>
      <w:r>
        <w:rPr>
          <w:rFonts w:ascii="Times New Roman" w:cs="Times New Roman" w:eastAsia="Times New Roman" w:hAnsi="Times New Roman"/>
          <w:sz w:val="19"/>
          <w:szCs w:val="19"/>
          <w:u w:val="single" w:color="auto"/>
          <w:color w:val="auto"/>
        </w:rPr>
        <w:t>Delivery to the Corporation.</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Whenever this Article 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this Article II.</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 - Directors</w:t>
      </w:r>
    </w:p>
    <w:p>
      <w:pPr>
        <w:spacing w:after="0" w:line="3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20"/>
          <w:szCs w:val="20"/>
          <w:u w:val="single" w:color="auto"/>
          <w:color w:val="auto"/>
        </w:rPr>
        <w:t>Powers</w:t>
      </w:r>
      <w:r>
        <w:rPr>
          <w:rFonts w:ascii="Times New Roman" w:cs="Times New Roman" w:eastAsia="Times New Roman" w:hAnsi="Times New Roman"/>
          <w:sz w:val="20"/>
          <w:szCs w:val="20"/>
          <w:color w:val="auto"/>
        </w:rPr>
        <w:t>.</w:t>
      </w:r>
    </w:p>
    <w:p>
      <w:pPr>
        <w:spacing w:after="0" w:line="21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Except as otherwise provided by the Certificate of Incorporation or the DGCL, the business and affairs of the Corporation shall be managed by or under the direction of the Board.</w:t>
      </w:r>
    </w:p>
    <w:p>
      <w:pPr>
        <w:spacing w:after="0" w:line="6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u w:val="single" w:color="auto"/>
          <w:color w:val="auto"/>
        </w:rPr>
        <w:t>Number of Directors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Subject to the Certificate of Incorporation, the total number of directors constituting the Board shall be determined from time to time by resolution of the Board. No reduction of the authorized number of directors shall have the effect of removing any director before that director’s term of office expires.</w:t>
      </w:r>
    </w:p>
    <w:p>
      <w:pPr>
        <w:spacing w:after="0" w:line="7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u w:val="single" w:color="auto"/>
          <w:color w:val="auto"/>
        </w:rPr>
        <w:t>Election, Qualification and Term of Office of Directors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Except as provided in Section 3.4 of these bylaws, and subject to the Certificate of Incorporation, each director, including a director elected to fill a vacancy or newly created directorship, shall hold office until the expiration of the term of the class, if any, for which elected and until such director’s successor is elected and qualified or until such director’s earlier death, resignation, disqualification or removal. Directors need not be stockholders. The Certificate of Incorporation or these bylaws may prescribe qualifications for directors.</w:t>
      </w:r>
    </w:p>
    <w:p>
      <w:pPr>
        <w:spacing w:after="0" w:line="7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9"/>
          <w:szCs w:val="19"/>
          <w:u w:val="single" w:color="auto"/>
          <w:color w:val="auto"/>
        </w:rPr>
        <w:t>Resignation and Vacancies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 When one or more directors so resigns and the resignation is effective at a future date or upon the happening of an event to occur on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Section 3.3.</w:t>
      </w:r>
    </w:p>
    <w:p>
      <w:pPr>
        <w:sectPr>
          <w:pgSz w:w="11900" w:h="16838" w:orient="portrait"/>
          <w:cols w:equalWidth="0" w:num="1">
            <w:col w:w="11240"/>
          </w:cols>
          <w:pgMar w:left="320" w:top="1413" w:right="339" w:bottom="1440" w:gutter="0" w:footer="0" w:header="0"/>
        </w:sectPr>
      </w:pPr>
    </w:p>
    <w:bookmarkStart w:id="36" w:name="page37"/>
    <w:bookmarkEnd w:id="36"/>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Unless otherwise provided in the Certificate of Incorporation or these bylaws, vacancies resulting from the death, resignation, disqualification or removal of any director, and newly created directorships resulting from any increase in the authorized number of directors shall be filled only by a majority of the directors then in office, although less than a quorum, or by a sole remaining director.</w:t>
      </w:r>
    </w:p>
    <w:p>
      <w:pPr>
        <w:spacing w:after="0" w:line="7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19"/>
          <w:szCs w:val="19"/>
          <w:u w:val="single" w:color="auto"/>
          <w:color w:val="auto"/>
        </w:rPr>
        <w:t>Place of Meetings; Meetings by Telephone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Board may hold meetings, both regular and special, either within or outside the State of Delaware.</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this bylaw shall constitute presence in person at the meeting.</w:t>
      </w:r>
    </w:p>
    <w:p>
      <w:pPr>
        <w:spacing w:after="0" w:line="6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3.6</w:t>
      </w:r>
      <w:r>
        <w:rPr>
          <w:sz w:val="20"/>
          <w:szCs w:val="20"/>
          <w:color w:val="auto"/>
        </w:rPr>
        <w:tab/>
      </w:r>
      <w:r>
        <w:rPr>
          <w:rFonts w:ascii="Times New Roman" w:cs="Times New Roman" w:eastAsia="Times New Roman" w:hAnsi="Times New Roman"/>
          <w:sz w:val="19"/>
          <w:szCs w:val="19"/>
          <w:u w:val="single" w:color="auto"/>
          <w:color w:val="auto"/>
        </w:rPr>
        <w:t>Regular Meetings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Regular meetings of the Board may be held within or outside the State of Delaware and at such time and at such place as which has been designated by the Board and publicized among all directors, either orally or in writing, by telephone, including a voice-messaging system or other system designed to record and communicate messages, facsimile, telegraph or telex, or by electronic mail or other means of electronic transmission. No further notice shall be required for regular meetings of the Board.</w:t>
      </w:r>
    </w:p>
    <w:p>
      <w:pPr>
        <w:spacing w:after="0" w:line="6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3.7</w:t>
      </w:r>
      <w:r>
        <w:rPr>
          <w:sz w:val="20"/>
          <w:szCs w:val="20"/>
          <w:color w:val="auto"/>
        </w:rPr>
        <w:tab/>
      </w:r>
      <w:r>
        <w:rPr>
          <w:rFonts w:ascii="Times New Roman" w:cs="Times New Roman" w:eastAsia="Times New Roman" w:hAnsi="Times New Roman"/>
          <w:sz w:val="19"/>
          <w:szCs w:val="19"/>
          <w:u w:val="single" w:color="auto"/>
          <w:color w:val="auto"/>
        </w:rPr>
        <w:t>Special Meetings; Notice</w:t>
      </w:r>
      <w:r>
        <w:rPr>
          <w:rFonts w:ascii="Times New Roman" w:cs="Times New Roman" w:eastAsia="Times New Roman" w:hAnsi="Times New Roman"/>
          <w:sz w:val="19"/>
          <w:szCs w:val="19"/>
          <w:color w:val="auto"/>
        </w:rPr>
        <w:t>.</w:t>
      </w:r>
    </w:p>
    <w:p>
      <w:pPr>
        <w:spacing w:after="0" w:line="54"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Special meetings of the Board for any purpose or purposes may be called at any time by the Chief Executive Officer or a majority of the total number of directors constituting the Board.</w:t>
      </w:r>
    </w:p>
    <w:p>
      <w:pPr>
        <w:spacing w:after="0" w:line="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Notice of the time and place of special meetings shall be:</w:t>
      </w:r>
    </w:p>
    <w:p>
      <w:pPr>
        <w:spacing w:after="0" w:line="162" w:lineRule="exact"/>
        <w:rPr>
          <w:sz w:val="20"/>
          <w:szCs w:val="20"/>
          <w:color w:val="auto"/>
        </w:rPr>
      </w:pPr>
    </w:p>
    <w:p>
      <w:pPr>
        <w:ind w:left="1680" w:hanging="376"/>
        <w:spacing w:after="0"/>
        <w:tabs>
          <w:tab w:leader="none" w:pos="16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delivered personally by hand, by courier or by telephone;</w:t>
      </w:r>
    </w:p>
    <w:p>
      <w:pPr>
        <w:spacing w:after="0" w:line="17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sent by United States first-class mail, postage prepaid;</w:t>
      </w:r>
    </w:p>
    <w:p>
      <w:pPr>
        <w:spacing w:after="0" w:line="175" w:lineRule="exact"/>
        <w:rPr>
          <w:rFonts w:ascii="Times New Roman" w:cs="Times New Roman" w:eastAsia="Times New Roman" w:hAnsi="Times New Roman"/>
          <w:sz w:val="20"/>
          <w:szCs w:val="20"/>
          <w:color w:val="auto"/>
        </w:rPr>
      </w:pPr>
    </w:p>
    <w:p>
      <w:pPr>
        <w:ind w:left="1800" w:hanging="496"/>
        <w:spacing w:after="0"/>
        <w:tabs>
          <w:tab w:leader="none" w:pos="18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sent by facsimile or electronic mail; or</w:t>
      </w:r>
    </w:p>
    <w:p>
      <w:pPr>
        <w:spacing w:after="0" w:line="161"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sent by other means of electronic transmission,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directed to each director at that director’s address, telephone number, facsimile number or electronic mail address, or other address for electronic transmission, as the case may be, as shown on the Corporation’s records.</w:t>
      </w:r>
    </w:p>
    <w:p>
      <w:pPr>
        <w:spacing w:after="0" w:line="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If the notice is (i) delivered personally by hand, by courier or by telephone, (ii) sent by facsimile or electronic mail, or (iii) sent by other means of electronic transmission, it shall be delivered or sent at least twenty-four (24) hours before the time of the holding of the meeting. If the notice is sent by U.S. mail, it shall be deposited in the U.S. mail at least four (4) days before the time of the holding of the meeting. The notice need not specify the place of the meeting (if the meeting is to be held at the Corporation’s principal executive office) nor the purpose of the meeting.</w:t>
      </w:r>
    </w:p>
    <w:p>
      <w:pPr>
        <w:spacing w:after="0" w:line="8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3.8</w:t>
      </w:r>
      <w:r>
        <w:rPr>
          <w:sz w:val="20"/>
          <w:szCs w:val="20"/>
          <w:color w:val="auto"/>
        </w:rPr>
        <w:tab/>
      </w:r>
      <w:r>
        <w:rPr>
          <w:rFonts w:ascii="Times New Roman" w:cs="Times New Roman" w:eastAsia="Times New Roman" w:hAnsi="Times New Roman"/>
          <w:sz w:val="20"/>
          <w:szCs w:val="20"/>
          <w:u w:val="single" w:color="auto"/>
          <w:color w:val="auto"/>
        </w:rPr>
        <w:t>Quorum</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At all meetings of the Board, unless otherwise provided by the Certificate of Incorporation, a majority of the total number of directors shall constitute a quorum for the transaction of business. The vote of a majority of the directors present at any meeting at which a quorum is present shall be the act of the Board, except as may be otherwise specifically provided by statute, the Certificate of Incorporation or</w:t>
      </w:r>
    </w:p>
    <w:p>
      <w:pPr>
        <w:sectPr>
          <w:pgSz w:w="11900" w:h="16838" w:orient="portrait"/>
          <w:cols w:equalWidth="0" w:num="1">
            <w:col w:w="11240"/>
          </w:cols>
          <w:pgMar w:left="320" w:top="1413" w:right="339" w:bottom="1440" w:gutter="0" w:footer="0" w:header="0"/>
        </w:sectPr>
      </w:pPr>
    </w:p>
    <w:bookmarkStart w:id="37" w:name="page38"/>
    <w:bookmarkEnd w:id="37"/>
    <w:p>
      <w:pPr>
        <w:jc w:val="both"/>
        <w:spacing w:after="0" w:line="283" w:lineRule="auto"/>
        <w:rPr>
          <w:sz w:val="20"/>
          <w:szCs w:val="20"/>
          <w:color w:val="auto"/>
        </w:rPr>
      </w:pPr>
      <w:r>
        <w:rPr>
          <w:rFonts w:ascii="Times New Roman" w:cs="Times New Roman" w:eastAsia="Times New Roman" w:hAnsi="Times New Roman"/>
          <w:sz w:val="20"/>
          <w:szCs w:val="20"/>
          <w:color w:val="auto"/>
        </w:rPr>
        <w:t>these bylaws. If a quorum is not present at any meeting of the Board, then the directors present thereat may adjourn the meeting from time to time, without notice other than announcement at the meeting, until a quorum is present.</w:t>
      </w:r>
    </w:p>
    <w:p>
      <w:pPr>
        <w:spacing w:after="0" w:line="3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3.9</w:t>
      </w:r>
      <w:r>
        <w:rPr>
          <w:sz w:val="20"/>
          <w:szCs w:val="20"/>
          <w:color w:val="auto"/>
        </w:rPr>
        <w:tab/>
      </w:r>
      <w:r>
        <w:rPr>
          <w:rFonts w:ascii="Times New Roman" w:cs="Times New Roman" w:eastAsia="Times New Roman" w:hAnsi="Times New Roman"/>
          <w:sz w:val="19"/>
          <w:szCs w:val="19"/>
          <w:u w:val="single" w:color="auto"/>
          <w:color w:val="auto"/>
        </w:rPr>
        <w:t>Board Action without a Meeting</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After an action is taken, the consent or consents relating thereto shall be filed with the minutes of the proceedings of the Board, or the committee thereof, in the same paper or electronic form as the minutes are maintained. Such action by written consent or consent by electronic transmission shall have the same force and effect as a unanimous vote of the Board.</w:t>
      </w:r>
    </w:p>
    <w:p>
      <w:pPr>
        <w:spacing w:after="0" w:line="7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3.10</w:t>
      </w:r>
      <w:r>
        <w:rPr>
          <w:sz w:val="20"/>
          <w:szCs w:val="20"/>
          <w:color w:val="auto"/>
        </w:rPr>
        <w:tab/>
      </w:r>
      <w:r>
        <w:rPr>
          <w:rFonts w:ascii="Times New Roman" w:cs="Times New Roman" w:eastAsia="Times New Roman" w:hAnsi="Times New Roman"/>
          <w:sz w:val="19"/>
          <w:szCs w:val="19"/>
          <w:u w:val="single" w:color="auto"/>
          <w:color w:val="auto"/>
        </w:rPr>
        <w:t>Fees and Compensation of Directors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Unless otherwise restricted by the Certificate of Incorporation or these bylaws, the Board shall have the authority to fix the compensation, including fees and reimbursement of expenses, of directors for services to the Corporation in any capacity.</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 - Committees</w:t>
      </w:r>
    </w:p>
    <w:p>
      <w:pPr>
        <w:spacing w:after="0" w:line="3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19"/>
          <w:szCs w:val="19"/>
          <w:u w:val="single" w:color="auto"/>
          <w:color w:val="auto"/>
        </w:rPr>
        <w:t>Committees of Directors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expressly required by the DGCL to be submitted to stockholders for approval, or (ii) adopt, amend or repeal any bylaw of the Corporation.</w:t>
      </w:r>
    </w:p>
    <w:p>
      <w:pPr>
        <w:spacing w:after="0" w:line="6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u w:val="single" w:color="auto"/>
          <w:color w:val="auto"/>
        </w:rPr>
        <w:t>Committee Minutes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Each committee shall keep regular minutes of its meetings and report the same to the Board when required.</w:t>
      </w:r>
    </w:p>
    <w:p>
      <w:pPr>
        <w:spacing w:after="0" w:line="10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19"/>
          <w:szCs w:val="19"/>
          <w:u w:val="single" w:color="auto"/>
          <w:color w:val="auto"/>
        </w:rPr>
        <w:t>Meetings and Actions of Committees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Meetings and actions of committees shall be governed by, and held and taken in accordance with, the provisions of:</w:t>
      </w:r>
    </w:p>
    <w:p>
      <w:pPr>
        <w:spacing w:after="0" w:line="121" w:lineRule="exact"/>
        <w:rPr>
          <w:sz w:val="20"/>
          <w:szCs w:val="20"/>
          <w:color w:val="auto"/>
        </w:rPr>
      </w:pPr>
    </w:p>
    <w:p>
      <w:pPr>
        <w:ind w:left="1940" w:hanging="377"/>
        <w:spacing w:after="0"/>
        <w:tabs>
          <w:tab w:leader="none" w:pos="19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3.5 (place of meetings; meetings by telephone);</w:t>
      </w:r>
    </w:p>
    <w:p>
      <w:pPr>
        <w:spacing w:after="0" w:line="107" w:lineRule="exact"/>
        <w:rPr>
          <w:rFonts w:ascii="Times New Roman" w:cs="Times New Roman" w:eastAsia="Times New Roman" w:hAnsi="Times New Roman"/>
          <w:sz w:val="20"/>
          <w:szCs w:val="20"/>
          <w:color w:val="auto"/>
        </w:rPr>
      </w:pPr>
    </w:p>
    <w:p>
      <w:pPr>
        <w:ind w:left="2000" w:hanging="437"/>
        <w:spacing w:after="0"/>
        <w:tabs>
          <w:tab w:leader="none" w:pos="20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3.6 (regular meetings);</w:t>
      </w:r>
    </w:p>
    <w:p>
      <w:pPr>
        <w:spacing w:after="0" w:line="121" w:lineRule="exact"/>
        <w:rPr>
          <w:rFonts w:ascii="Times New Roman" w:cs="Times New Roman" w:eastAsia="Times New Roman" w:hAnsi="Times New Roman"/>
          <w:sz w:val="20"/>
          <w:szCs w:val="20"/>
          <w:color w:val="auto"/>
        </w:rPr>
      </w:pPr>
    </w:p>
    <w:p>
      <w:pPr>
        <w:ind w:left="2060" w:hanging="497"/>
        <w:spacing w:after="0"/>
        <w:tabs>
          <w:tab w:leader="none" w:pos="20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3.7 (special meetings; notice);</w:t>
      </w:r>
    </w:p>
    <w:p>
      <w:pPr>
        <w:spacing w:after="0" w:line="107" w:lineRule="exact"/>
        <w:rPr>
          <w:rFonts w:ascii="Times New Roman" w:cs="Times New Roman" w:eastAsia="Times New Roman" w:hAnsi="Times New Roman"/>
          <w:sz w:val="20"/>
          <w:szCs w:val="20"/>
          <w:color w:val="auto"/>
        </w:rPr>
      </w:pPr>
    </w:p>
    <w:p>
      <w:pPr>
        <w:ind w:left="2040" w:hanging="477"/>
        <w:spacing w:after="0"/>
        <w:tabs>
          <w:tab w:leader="none" w:pos="20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3.9 (board action without a meeting); and</w:t>
      </w:r>
    </w:p>
    <w:p>
      <w:pPr>
        <w:sectPr>
          <w:pgSz w:w="11900" w:h="16838" w:orient="portrait"/>
          <w:cols w:equalWidth="0" w:num="1">
            <w:col w:w="11240"/>
          </w:cols>
          <w:pgMar w:left="320" w:top="1413" w:right="339" w:bottom="1440" w:gutter="0" w:footer="0" w:header="0"/>
        </w:sectPr>
      </w:pPr>
    </w:p>
    <w:bookmarkStart w:id="38" w:name="page39"/>
    <w:bookmarkEnd w:id="38"/>
    <w:p>
      <w:pPr>
        <w:ind w:left="1560"/>
        <w:spacing w:after="0"/>
        <w:tabs>
          <w:tab w:leader="none" w:pos="1980" w:val="left"/>
        </w:tabs>
        <w:rPr>
          <w:sz w:val="20"/>
          <w:szCs w:val="20"/>
          <w:color w:val="auto"/>
        </w:rPr>
      </w:pPr>
      <w:r>
        <w:rPr>
          <w:rFonts w:ascii="Times New Roman" w:cs="Times New Roman" w:eastAsia="Times New Roman" w:hAnsi="Times New Roman"/>
          <w:sz w:val="20"/>
          <w:szCs w:val="20"/>
          <w:color w:val="auto"/>
        </w:rPr>
        <w:t>(v)</w:t>
      </w:r>
      <w:r>
        <w:rPr>
          <w:sz w:val="20"/>
          <w:szCs w:val="20"/>
          <w:color w:val="auto"/>
        </w:rPr>
        <w:tab/>
      </w:r>
      <w:r>
        <w:rPr>
          <w:rFonts w:ascii="Times New Roman" w:cs="Times New Roman" w:eastAsia="Times New Roman" w:hAnsi="Times New Roman"/>
          <w:sz w:val="19"/>
          <w:szCs w:val="19"/>
          <w:color w:val="auto"/>
        </w:rPr>
        <w:t>Section 7.13 (waiver of notice),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with such changes in the context of those bylaws as are necessary to substitute the committee and its members for the Board and its members.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w:t>
      </w:r>
    </w:p>
    <w:p>
      <w:pPr>
        <w:spacing w:after="0" w:line="99" w:lineRule="exact"/>
        <w:rPr>
          <w:sz w:val="20"/>
          <w:szCs w:val="20"/>
          <w:color w:val="auto"/>
        </w:rPr>
      </w:pPr>
    </w:p>
    <w:p>
      <w:pPr>
        <w:ind w:left="1720" w:hanging="416"/>
        <w:spacing w:after="0"/>
        <w:tabs>
          <w:tab w:leader="none" w:pos="1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time of regular meetings of committees may be determined either by resolution of the Board or by resolution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committee;</w:t>
      </w:r>
    </w:p>
    <w:p>
      <w:pPr>
        <w:spacing w:after="0" w:line="99" w:lineRule="exact"/>
        <w:rPr>
          <w:sz w:val="20"/>
          <w:szCs w:val="20"/>
          <w:color w:val="auto"/>
        </w:rPr>
      </w:pPr>
    </w:p>
    <w:p>
      <w:pPr>
        <w:ind w:left="1760" w:hanging="456"/>
        <w:spacing w:after="0"/>
        <w:tabs>
          <w:tab w:leader="none" w:pos="176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special meetings of committees may also be called by resolution of the Board or the chair of the applicable committee;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w:t>
      </w:r>
    </w:p>
    <w:p>
      <w:pPr>
        <w:spacing w:after="0" w:line="92" w:lineRule="exact"/>
        <w:rPr>
          <w:sz w:val="20"/>
          <w:szCs w:val="20"/>
          <w:color w:val="auto"/>
        </w:rPr>
      </w:pPr>
    </w:p>
    <w:p>
      <w:pPr>
        <w:jc w:val="both"/>
        <w:ind w:firstLine="1304"/>
        <w:spacing w:after="0" w:line="261" w:lineRule="auto"/>
        <w:tabs>
          <w:tab w:leader="none" w:pos="181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may adopt rules for the governance of any committee to override the provisions that would otherwise apply to the committee pursuant to this Section 4.3, provided that such rules do not violate the provisions of the Certificate of Incorporation or applicable law.</w:t>
      </w:r>
    </w:p>
    <w:p>
      <w:pPr>
        <w:spacing w:after="0" w:line="7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19"/>
          <w:szCs w:val="19"/>
          <w:u w:val="single" w:color="auto"/>
          <w:color w:val="auto"/>
        </w:rPr>
        <w:t>Subcommittees.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Unless otherwise provided in the Certificate of Incorporation, these bylaws or the resolutions of the Board designating the committee, a committee may create one (1) or more subcommittees, each subcommittee to consist of one (1) or more members of the committee, and delegate to a subcommittee any or all of the powers and authority of the committee.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 - Officers</w:t>
      </w:r>
    </w:p>
    <w:p>
      <w:pPr>
        <w:spacing w:after="0" w:line="23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9"/>
          <w:szCs w:val="19"/>
          <w:u w:val="single" w:color="auto"/>
          <w:color w:val="auto"/>
        </w:rPr>
        <w:t>Officers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officers of the Corporation shall include a Chief Executive Officer, a President, a Secretary, and a Treasurer. The Corporation may also have, at the discretion of the Board, one (1) or more Vice Presidents, one (1) or more Assistant Treasurers, one (1) or more Assistant Secretaries, and any such other officers as may be appointed in accordance with the provisions of these bylaws. Any number of offices may be held by the same person. No officer need be a stockholder or director of the Corporation.</w:t>
      </w:r>
    </w:p>
    <w:p>
      <w:pPr>
        <w:spacing w:after="0" w:line="7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u w:val="single" w:color="auto"/>
          <w:color w:val="auto"/>
        </w:rPr>
        <w:t>Appointment of Officers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Board shall appoint the officers of the Corporation, except such officers as may be appointed in accordance with the provisions of Section 5.3 of these bylaws.</w:t>
      </w:r>
    </w:p>
    <w:p>
      <w:pPr>
        <w:spacing w:after="0" w:line="5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19"/>
          <w:szCs w:val="19"/>
          <w:u w:val="single" w:color="auto"/>
          <w:color w:val="auto"/>
        </w:rPr>
        <w:t>Subordinate Officers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Board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w:t>
      </w:r>
    </w:p>
    <w:p>
      <w:pPr>
        <w:spacing w:after="0" w:line="7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19"/>
          <w:szCs w:val="19"/>
          <w:u w:val="single" w:color="auto"/>
          <w:color w:val="auto"/>
        </w:rPr>
        <w:t>Removal and Resignation of Officers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Subject to the rights, if any, of an officer under any contract of employment, any officer may be removed, either with or without cause, by the Board or, except in the case of an officer chosen by the Board, by any officer upon whom such power of removal may be conferred by the Board.</w:t>
      </w:r>
    </w:p>
    <w:p>
      <w:pPr>
        <w:spacing w:after="0" w:line="6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w:t>
      </w:r>
    </w:p>
    <w:p>
      <w:pPr>
        <w:sectPr>
          <w:pgSz w:w="11900" w:h="16838" w:orient="portrait"/>
          <w:cols w:equalWidth="0" w:num="1">
            <w:col w:w="11240"/>
          </w:cols>
          <w:pgMar w:left="320" w:top="1413" w:right="339" w:bottom="1440" w:gutter="0" w:footer="0" w:header="0"/>
        </w:sectPr>
      </w:pPr>
    </w:p>
    <w:bookmarkStart w:id="39" w:name="page40"/>
    <w:bookmarkEnd w:id="39"/>
    <w:p>
      <w:pPr>
        <w:jc w:val="both"/>
        <w:spacing w:after="0" w:line="283" w:lineRule="auto"/>
        <w:rPr>
          <w:sz w:val="20"/>
          <w:szCs w:val="20"/>
          <w:color w:val="auto"/>
        </w:rPr>
      </w:pPr>
      <w:r>
        <w:rPr>
          <w:rFonts w:ascii="Times New Roman" w:cs="Times New Roman" w:eastAsia="Times New Roman" w:hAnsi="Times New Roman"/>
          <w:sz w:val="20"/>
          <w:szCs w:val="20"/>
          <w:color w:val="auto"/>
        </w:rPr>
        <w:t>make it effective. Any resignation is without prejudice to the rights, if any, of the Corporation under any contract to which the officer is a party.</w:t>
      </w:r>
    </w:p>
    <w:p>
      <w:pPr>
        <w:spacing w:after="0" w:line="3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5.5</w:t>
      </w:r>
      <w:r>
        <w:rPr>
          <w:sz w:val="20"/>
          <w:szCs w:val="20"/>
          <w:color w:val="auto"/>
        </w:rPr>
        <w:tab/>
      </w:r>
      <w:r>
        <w:rPr>
          <w:rFonts w:ascii="Times New Roman" w:cs="Times New Roman" w:eastAsia="Times New Roman" w:hAnsi="Times New Roman"/>
          <w:sz w:val="19"/>
          <w:szCs w:val="19"/>
          <w:u w:val="single" w:color="auto"/>
          <w:color w:val="auto"/>
        </w:rPr>
        <w:t>Vacancies in Offices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Any vacancy occurring in any office of the Corporation shall be filled by the Board or as provided in Section 5.2.</w:t>
      </w:r>
    </w:p>
    <w:p>
      <w:pPr>
        <w:spacing w:after="0" w:line="10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5.6</w:t>
      </w:r>
      <w:r>
        <w:rPr>
          <w:sz w:val="20"/>
          <w:szCs w:val="20"/>
          <w:color w:val="auto"/>
        </w:rPr>
        <w:tab/>
      </w:r>
      <w:r>
        <w:rPr>
          <w:rFonts w:ascii="Times New Roman" w:cs="Times New Roman" w:eastAsia="Times New Roman" w:hAnsi="Times New Roman"/>
          <w:sz w:val="19"/>
          <w:szCs w:val="19"/>
          <w:u w:val="single" w:color="auto"/>
          <w:color w:val="auto"/>
        </w:rPr>
        <w:t>Representation of Shares of Other Corporations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Chair of the Board, the Chief Executive Officer, or the President of this Corporation, or any other person authorized by the Board, the Chief Executive Officer or the President, is authorized to vote, represent and exercise on behalf of this Corporation all rights incident to any and all shares or voting securities of any other corporation or other person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8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5.7</w:t>
      </w:r>
      <w:r>
        <w:rPr>
          <w:sz w:val="20"/>
          <w:szCs w:val="20"/>
          <w:color w:val="auto"/>
        </w:rPr>
        <w:tab/>
      </w:r>
      <w:r>
        <w:rPr>
          <w:rFonts w:ascii="Times New Roman" w:cs="Times New Roman" w:eastAsia="Times New Roman" w:hAnsi="Times New Roman"/>
          <w:sz w:val="19"/>
          <w:szCs w:val="19"/>
          <w:u w:val="single" w:color="auto"/>
          <w:color w:val="auto"/>
        </w:rPr>
        <w:t>Authority and Duties of Officers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w:t>
      </w:r>
    </w:p>
    <w:p>
      <w:pPr>
        <w:spacing w:after="0" w:line="60"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5.8</w:t>
      </w:r>
      <w:r>
        <w:rPr>
          <w:sz w:val="20"/>
          <w:szCs w:val="20"/>
          <w:color w:val="auto"/>
        </w:rPr>
        <w:tab/>
      </w:r>
      <w:r>
        <w:rPr>
          <w:rFonts w:ascii="Times New Roman" w:cs="Times New Roman" w:eastAsia="Times New Roman" w:hAnsi="Times New Roman"/>
          <w:sz w:val="19"/>
          <w:szCs w:val="19"/>
          <w:u w:val="single" w:color="auto"/>
          <w:color w:val="auto"/>
        </w:rPr>
        <w:t>Compensation.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 - Records</w:t>
      </w:r>
    </w:p>
    <w:p>
      <w:pPr>
        <w:spacing w:after="0" w:line="22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A stock ledger consisting of one or more records in which the names of all of the Corporation’s stockholders of record, the address and number of shares registered in the name of each such stockholder, and all issuances and transfers of stock of the corporation are recorded in accordance with Section 224 of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 as adopted in the State of Delaware.</w:t>
      </w:r>
    </w:p>
    <w:p>
      <w:pPr>
        <w:spacing w:after="0" w:line="17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b w:val="1"/>
          <w:bCs w:val="1"/>
          <w:color w:val="auto"/>
        </w:rPr>
        <w:t>Article VII - General Matters</w:t>
      </w:r>
    </w:p>
    <w:p>
      <w:pPr>
        <w:spacing w:after="0" w:line="220"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9"/>
          <w:szCs w:val="19"/>
          <w:u w:val="single" w:color="auto"/>
          <w:color w:val="auto"/>
        </w:rPr>
        <w:t>Execution of Corporate Contracts and Instruments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Board, except as otherwise provided in these bylaws, may authorize any officer or officers, or agent or agents, to enter into any contract or execute any instrument in the name of and on behalf of the Corporation; such authority may be general or confined to specific instances.</w:t>
      </w:r>
    </w:p>
    <w:p>
      <w:pPr>
        <w:sectPr>
          <w:pgSz w:w="11900" w:h="16838" w:orient="portrait"/>
          <w:cols w:equalWidth="0" w:num="1">
            <w:col w:w="11240"/>
          </w:cols>
          <w:pgMar w:left="320" w:top="1413" w:right="339" w:bottom="1440" w:gutter="0" w:footer="0" w:header="0"/>
        </w:sectPr>
      </w:pPr>
    </w:p>
    <w:bookmarkStart w:id="40" w:name="page41"/>
    <w:bookmarkEnd w:id="40"/>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u w:val="single" w:color="auto"/>
          <w:color w:val="auto"/>
        </w:rPr>
        <w:t>Stock Certificates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The shares of the Corporation shall be represented by certificates, provided that the Board by resolution may provide that some or all of the shares of any class or series of stock of the Corporation shall be uncertificated. Certificates for the shares of stock, if any, shall be in such form as is consistent with the Certificate of Incorporation and applicable law</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Every holder of stock represented by a certificate shall be entitled to have a certificate signed by, or in the name of the Corporation by, any two officers authorized to sign stock certificates representing the number of shares registered in certificate form. The Chief Executive Officer, the President, the Secretary, the Treasurer, any Vice President, any Assistant Treasurer,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8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9"/>
          <w:szCs w:val="19"/>
          <w:color w:val="auto"/>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6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7.3</w:t>
      </w:r>
      <w:r>
        <w:rPr>
          <w:sz w:val="20"/>
          <w:szCs w:val="20"/>
          <w:color w:val="auto"/>
        </w:rPr>
        <w:tab/>
      </w:r>
      <w:r>
        <w:rPr>
          <w:rFonts w:ascii="Times New Roman" w:cs="Times New Roman" w:eastAsia="Times New Roman" w:hAnsi="Times New Roman"/>
          <w:sz w:val="19"/>
          <w:szCs w:val="19"/>
          <w:u w:val="single" w:color="auto"/>
          <w:color w:val="auto"/>
        </w:rPr>
        <w:t>Special Designation of Certificates.</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Section 151 of the DGCL); provided, however, that except as otherwise provided in Section 202 of the DGCL, in lieu of the foregoing requirements, there may be set forth on the face or back of the 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8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7.4</w:t>
      </w:r>
      <w:r>
        <w:rPr>
          <w:sz w:val="20"/>
          <w:szCs w:val="20"/>
          <w:color w:val="auto"/>
        </w:rPr>
        <w:tab/>
      </w:r>
      <w:r>
        <w:rPr>
          <w:rFonts w:ascii="Times New Roman" w:cs="Times New Roman" w:eastAsia="Times New Roman" w:hAnsi="Times New Roman"/>
          <w:sz w:val="19"/>
          <w:szCs w:val="19"/>
          <w:u w:val="single" w:color="auto"/>
          <w:color w:val="auto"/>
        </w:rPr>
        <w:t>Lost Certificates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Except as provided in this Section 7.4,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ectPr>
          <w:pgSz w:w="11900" w:h="16838" w:orient="portrait"/>
          <w:cols w:equalWidth="0" w:num="1">
            <w:col w:w="11240"/>
          </w:cols>
          <w:pgMar w:left="320" w:top="1413" w:right="339" w:bottom="1440" w:gutter="0" w:footer="0" w:header="0"/>
        </w:sectPr>
      </w:pPr>
    </w:p>
    <w:bookmarkStart w:id="41" w:name="page42"/>
    <w:bookmarkEnd w:id="41"/>
    <w:p>
      <w:pPr>
        <w:ind w:left="660"/>
        <w:spacing w:after="0"/>
        <w:tabs>
          <w:tab w:leader="none" w:pos="1080" w:val="left"/>
        </w:tabs>
        <w:rPr>
          <w:sz w:val="20"/>
          <w:szCs w:val="20"/>
          <w:color w:val="auto"/>
        </w:rPr>
      </w:pPr>
      <w:r>
        <w:rPr>
          <w:rFonts w:ascii="Times New Roman" w:cs="Times New Roman" w:eastAsia="Times New Roman" w:hAnsi="Times New Roman"/>
          <w:sz w:val="20"/>
          <w:szCs w:val="20"/>
          <w:u w:val="single" w:color="auto"/>
          <w:color w:val="auto"/>
        </w:rPr>
        <w:t>7.5</w:t>
      </w:r>
      <w:r>
        <w:rPr>
          <w:sz w:val="20"/>
          <w:szCs w:val="20"/>
          <w:color w:val="auto"/>
        </w:rPr>
        <w:tab/>
      </w:r>
      <w:r>
        <w:rPr>
          <w:rFonts w:ascii="Times New Roman" w:cs="Times New Roman" w:eastAsia="Times New Roman" w:hAnsi="Times New Roman"/>
          <w:sz w:val="19"/>
          <w:szCs w:val="19"/>
          <w:u w:val="single" w:color="auto"/>
          <w:color w:val="auto"/>
        </w:rPr>
        <w:t>Shares Without Certificates</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spacing w:after="0" w:line="6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7.6</w:t>
      </w:r>
      <w:r>
        <w:rPr>
          <w:sz w:val="20"/>
          <w:szCs w:val="20"/>
          <w:color w:val="auto"/>
        </w:rPr>
        <w:tab/>
      </w:r>
      <w:r>
        <w:rPr>
          <w:rFonts w:ascii="Times New Roman" w:cs="Times New Roman" w:eastAsia="Times New Roman" w:hAnsi="Times New Roman"/>
          <w:sz w:val="19"/>
          <w:szCs w:val="19"/>
          <w:u w:val="single" w:color="auto"/>
          <w:color w:val="auto"/>
        </w:rPr>
        <w:t>Construction; Definitions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w:t>
      </w:r>
    </w:p>
    <w:p>
      <w:pPr>
        <w:spacing w:after="0" w:line="5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7.7</w:t>
      </w:r>
      <w:r>
        <w:rPr>
          <w:sz w:val="20"/>
          <w:szCs w:val="20"/>
          <w:color w:val="auto"/>
        </w:rPr>
        <w:tab/>
      </w:r>
      <w:r>
        <w:rPr>
          <w:rFonts w:ascii="Times New Roman" w:cs="Times New Roman" w:eastAsia="Times New Roman" w:hAnsi="Times New Roman"/>
          <w:sz w:val="19"/>
          <w:szCs w:val="19"/>
          <w:u w:val="single" w:color="auto"/>
          <w:color w:val="auto"/>
        </w:rPr>
        <w:t>Dividends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Board, subject to any restrictions contained in either (i) the DGCL or (ii) the Certificate of Incorporation, may declare and pay dividends upon the shares of its capital stock. Dividends may be paid in cash, in property or in shares of the Corporation’s capital stock.</w:t>
      </w:r>
    </w:p>
    <w:p>
      <w:pPr>
        <w:spacing w:after="0" w:line="6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7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7.8</w:t>
      </w:r>
      <w:r>
        <w:rPr>
          <w:sz w:val="20"/>
          <w:szCs w:val="20"/>
          <w:color w:val="auto"/>
        </w:rPr>
        <w:tab/>
      </w:r>
      <w:r>
        <w:rPr>
          <w:rFonts w:ascii="Times New Roman" w:cs="Times New Roman" w:eastAsia="Times New Roman" w:hAnsi="Times New Roman"/>
          <w:sz w:val="19"/>
          <w:szCs w:val="19"/>
          <w:u w:val="single" w:color="auto"/>
          <w:color w:val="auto"/>
        </w:rPr>
        <w:t>Fiscal Year</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fiscal year of the Corporation shall be fixed by resolution of the Board and may be changed by the Board.</w:t>
      </w:r>
    </w:p>
    <w:p>
      <w:pPr>
        <w:spacing w:after="0" w:line="121"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7.9</w:t>
      </w:r>
      <w:r>
        <w:rPr>
          <w:sz w:val="20"/>
          <w:szCs w:val="20"/>
          <w:color w:val="auto"/>
        </w:rPr>
        <w:tab/>
      </w:r>
      <w:r>
        <w:rPr>
          <w:rFonts w:ascii="Times New Roman" w:cs="Times New Roman" w:eastAsia="Times New Roman" w:hAnsi="Times New Roman"/>
          <w:sz w:val="20"/>
          <w:szCs w:val="20"/>
          <w:u w:val="single" w:color="auto"/>
          <w:color w:val="auto"/>
        </w:rPr>
        <w:t>Seal</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6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7.10</w:t>
      </w:r>
      <w:r>
        <w:rPr>
          <w:sz w:val="20"/>
          <w:szCs w:val="20"/>
          <w:color w:val="auto"/>
        </w:rPr>
        <w:tab/>
      </w:r>
      <w:r>
        <w:rPr>
          <w:rFonts w:ascii="Times New Roman" w:cs="Times New Roman" w:eastAsia="Times New Roman" w:hAnsi="Times New Roman"/>
          <w:sz w:val="19"/>
          <w:szCs w:val="19"/>
          <w:u w:val="single" w:color="auto"/>
          <w:color w:val="auto"/>
        </w:rPr>
        <w:t>Transfer of Stock</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Shares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w:t>
      </w:r>
    </w:p>
    <w:p>
      <w:pPr>
        <w:spacing w:after="0" w:line="5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7.11</w:t>
      </w:r>
      <w:r>
        <w:rPr>
          <w:sz w:val="20"/>
          <w:szCs w:val="20"/>
          <w:color w:val="auto"/>
        </w:rPr>
        <w:tab/>
      </w:r>
      <w:r>
        <w:rPr>
          <w:rFonts w:ascii="Times New Roman" w:cs="Times New Roman" w:eastAsia="Times New Roman" w:hAnsi="Times New Roman"/>
          <w:sz w:val="19"/>
          <w:szCs w:val="19"/>
          <w:u w:val="single" w:color="auto"/>
          <w:color w:val="auto"/>
        </w:rPr>
        <w:t>Stock Transfer Agreements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owned by such stockholders in any manner not prohibited by the DGCL.</w:t>
      </w:r>
    </w:p>
    <w:p>
      <w:pPr>
        <w:sectPr>
          <w:pgSz w:w="11900" w:h="16838" w:orient="portrait"/>
          <w:cols w:equalWidth="0" w:num="1">
            <w:col w:w="11240"/>
          </w:cols>
          <w:pgMar w:left="320" w:top="1413" w:right="339" w:bottom="1440" w:gutter="0" w:footer="0" w:header="0"/>
        </w:sectPr>
      </w:pPr>
    </w:p>
    <w:bookmarkStart w:id="42" w:name="page43"/>
    <w:bookmarkEnd w:id="42"/>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7.12</w:t>
      </w:r>
      <w:r>
        <w:rPr>
          <w:sz w:val="20"/>
          <w:szCs w:val="20"/>
          <w:color w:val="auto"/>
        </w:rPr>
        <w:tab/>
      </w:r>
      <w:r>
        <w:rPr>
          <w:rFonts w:ascii="Times New Roman" w:cs="Times New Roman" w:eastAsia="Times New Roman" w:hAnsi="Times New Roman"/>
          <w:sz w:val="19"/>
          <w:szCs w:val="19"/>
          <w:u w:val="single" w:color="auto"/>
          <w:color w:val="auto"/>
        </w:rPr>
        <w:t>Registered Stockholders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Corporation:</w:t>
      </w:r>
    </w:p>
    <w:p>
      <w:pPr>
        <w:spacing w:after="0" w:line="108" w:lineRule="exact"/>
        <w:rPr>
          <w:sz w:val="20"/>
          <w:szCs w:val="20"/>
          <w:color w:val="auto"/>
        </w:rPr>
      </w:pPr>
    </w:p>
    <w:p>
      <w:pPr>
        <w:ind w:right="20" w:firstLine="1304"/>
        <w:spacing w:after="0" w:line="283" w:lineRule="auto"/>
        <w:tabs>
          <w:tab w:leader="none" w:pos="179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be entitled to recognize the exclusive right of a person registered on its books as the owner of shares to receive dividends and to vote as such owner; and</w:t>
      </w:r>
    </w:p>
    <w:p>
      <w:pPr>
        <w:spacing w:after="0" w:line="38" w:lineRule="exact"/>
        <w:rPr>
          <w:rFonts w:ascii="Times New Roman" w:cs="Times New Roman" w:eastAsia="Times New Roman" w:hAnsi="Times New Roman"/>
          <w:sz w:val="20"/>
          <w:szCs w:val="20"/>
          <w:color w:val="auto"/>
        </w:rPr>
      </w:pPr>
    </w:p>
    <w:p>
      <w:pPr>
        <w:ind w:right="20" w:firstLine="1304"/>
        <w:spacing w:after="0" w:line="310" w:lineRule="auto"/>
        <w:tabs>
          <w:tab w:leader="none" w:pos="175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not be bound to recognize any equitable or other claim to or interest in such share or shares on the part of another person, whether or not it shall have express or other notice thereof, except as otherwise provided by the laws of the State of Delaware.</w:t>
      </w:r>
    </w:p>
    <w:p>
      <w:pPr>
        <w:spacing w:after="0" w:line="3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7.13</w:t>
      </w:r>
      <w:r>
        <w:rPr>
          <w:sz w:val="20"/>
          <w:szCs w:val="20"/>
          <w:color w:val="auto"/>
        </w:rPr>
        <w:tab/>
      </w:r>
      <w:r>
        <w:rPr>
          <w:rFonts w:ascii="Times New Roman" w:cs="Times New Roman" w:eastAsia="Times New Roman" w:hAnsi="Times New Roman"/>
          <w:sz w:val="19"/>
          <w:szCs w:val="19"/>
          <w:u w:val="single" w:color="auto"/>
          <w:color w:val="auto"/>
        </w:rPr>
        <w:t>Waiver of Notice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b w:val="1"/>
          <w:bCs w:val="1"/>
          <w:color w:val="auto"/>
        </w:rPr>
        <w:t>Article VIII - Notice</w:t>
      </w:r>
    </w:p>
    <w:p>
      <w:pPr>
        <w:spacing w:after="0" w:line="20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19"/>
          <w:szCs w:val="19"/>
          <w:u w:val="single" w:color="auto"/>
          <w:color w:val="auto"/>
        </w:rPr>
        <w:t>Delivery of Notice; Notice by Electronic Transmission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w:t>
      </w:r>
    </w:p>
    <w:p>
      <w:pPr>
        <w:spacing w:after="0" w:line="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9"/>
          <w:szCs w:val="19"/>
          <w:color w:val="auto"/>
        </w:rPr>
        <w:t>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without obtaining the consent required by this paragraph.</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Any notice given pursuant to the preceding paragraph shall be deemed given:</w:t>
      </w:r>
    </w:p>
    <w:p>
      <w:pPr>
        <w:spacing w:after="0" w:line="121" w:lineRule="exact"/>
        <w:rPr>
          <w:sz w:val="20"/>
          <w:szCs w:val="20"/>
          <w:color w:val="auto"/>
        </w:rPr>
      </w:pPr>
    </w:p>
    <w:p>
      <w:pPr>
        <w:ind w:left="1300"/>
        <w:spacing w:after="0"/>
        <w:tabs>
          <w:tab w:leader="none" w:pos="1660" w:val="left"/>
        </w:tabs>
        <w:rPr>
          <w:sz w:val="20"/>
          <w:szCs w:val="20"/>
          <w:color w:val="auto"/>
        </w:rPr>
      </w:pPr>
      <w:r>
        <w:rPr>
          <w:rFonts w:ascii="Times New Roman" w:cs="Times New Roman" w:eastAsia="Times New Roman" w:hAnsi="Times New Roman"/>
          <w:sz w:val="20"/>
          <w:szCs w:val="20"/>
          <w:color w:val="auto"/>
        </w:rPr>
        <w:t>(i)</w:t>
      </w:r>
      <w:r>
        <w:rPr>
          <w:sz w:val="20"/>
          <w:szCs w:val="20"/>
          <w:color w:val="auto"/>
        </w:rPr>
        <w:tab/>
      </w:r>
      <w:r>
        <w:rPr>
          <w:rFonts w:ascii="Times New Roman" w:cs="Times New Roman" w:eastAsia="Times New Roman" w:hAnsi="Times New Roman"/>
          <w:sz w:val="19"/>
          <w:szCs w:val="19"/>
          <w:color w:val="auto"/>
        </w:rPr>
        <w:t>if by facsimile telecommunication, when directed to a number at which the stockholder has consented to receive notice;</w:t>
      </w:r>
    </w:p>
    <w:p>
      <w:pPr>
        <w:sectPr>
          <w:pgSz w:w="11900" w:h="16838" w:orient="portrait"/>
          <w:cols w:equalWidth="0" w:num="1">
            <w:col w:w="11240"/>
          </w:cols>
          <w:pgMar w:left="320" w:top="1413" w:right="339" w:bottom="1440" w:gutter="0" w:footer="0" w:header="0"/>
        </w:sectPr>
      </w:pPr>
    </w:p>
    <w:bookmarkStart w:id="43" w:name="page44"/>
    <w:bookmarkEnd w:id="43"/>
    <w:p>
      <w:pPr>
        <w:ind w:left="1960" w:right="20" w:hanging="656"/>
        <w:spacing w:after="0" w:line="283" w:lineRule="auto"/>
        <w:tabs>
          <w:tab w:leader="none" w:pos="1773"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by a posting on an electronic network together with separate notice to the stockholder of such specific posting, upon the later of (A) such posting and (B) the giving of such separate notice; and</w:t>
      </w:r>
    </w:p>
    <w:p>
      <w:pPr>
        <w:spacing w:after="0" w:line="38" w:lineRule="exact"/>
        <w:rPr>
          <w:rFonts w:ascii="Times New Roman" w:cs="Times New Roman" w:eastAsia="Times New Roman" w:hAnsi="Times New Roman"/>
          <w:sz w:val="20"/>
          <w:szCs w:val="20"/>
          <w:color w:val="auto"/>
        </w:rPr>
      </w:pPr>
    </w:p>
    <w:p>
      <w:pPr>
        <w:ind w:left="1800" w:hanging="496"/>
        <w:spacing w:after="0"/>
        <w:tabs>
          <w:tab w:leader="none" w:pos="18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by any other form of electronic transmission, when directed to the stockholder.</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Notwithstanding the foregoing, a notice may not be given by an electronic transmission from and after the time that (1) the Corporation is unable to deliver by such electronic transmission two (2) consecutive notices given by the Corporation and (2) such inability becomes known to the Secretary or an Assistant Secretary of the Corporation or to the transfer agent, or other person responsible for the giving of notice, provided, however, the inadvertent failure to discover such inability shall not invalidate any meeting or other action.</w:t>
      </w:r>
    </w:p>
    <w:p>
      <w:pPr>
        <w:spacing w:after="0" w:line="64"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An affidavit of the Secretary or of the transfer agent or other agent of the Corporation that the notice has been given shall, in the absence of fraud, be prima facie evidence of the facts stated therein.</w:t>
      </w:r>
    </w:p>
    <w:p>
      <w:pPr>
        <w:spacing w:after="0" w:line="14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b w:val="1"/>
          <w:bCs w:val="1"/>
          <w:color w:val="auto"/>
        </w:rPr>
        <w:t>Article IX - Indemnification</w:t>
      </w:r>
    </w:p>
    <w:p>
      <w:pPr>
        <w:spacing w:after="0" w:line="23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19"/>
          <w:szCs w:val="19"/>
          <w:u w:val="single" w:color="auto"/>
          <w:color w:val="auto"/>
        </w:rPr>
        <w:t>Indemnification of Directors and Officers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The Corporation shall indemnify and hold harmless, to the fullest extent permitted by the DGCL as it presently exists or may hereafter be amended, any director or officer of the Corporation who was or is made or is threatened to be made a party or is otherwise involved in any action, suit or proceeding, whether civil, criminal, administrative or investigative (a “</w:t>
      </w:r>
      <w:r>
        <w:rPr>
          <w:rFonts w:ascii="Times New Roman" w:cs="Times New Roman" w:eastAsia="Times New Roman" w:hAnsi="Times New Roman"/>
          <w:sz w:val="20"/>
          <w:szCs w:val="20"/>
          <w:u w:val="single" w:color="auto"/>
          <w:color w:val="auto"/>
        </w:rPr>
        <w:t>Proceeding</w:t>
      </w:r>
      <w:r>
        <w:rPr>
          <w:rFonts w:ascii="Times New Roman" w:cs="Times New Roman" w:eastAsia="Times New Roman" w:hAnsi="Times New Roman"/>
          <w:sz w:val="20"/>
          <w:szCs w:val="20"/>
          <w:color w:val="auto"/>
        </w:rPr>
        <w:t>”) by reason of the fact that he or she, or a person for whom he or she is the legal representative, is or was a director or officer of the Corporation or, while serving as a director or officer of the Corporation, is or was serving at the request of the Corporation as a director, officer, employee or agent of another corporation or of a partnership (a “covered person”),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person in connection with any such Proceeding. Notwithstanding the preceding sentence, except as otherwise provided in Section 9.4, the Corporation shall be required to indemnify a person in connection with a Proceeding initiated by such person only if the Proceeding was authorized in the specific case by the Board.</w:t>
      </w:r>
    </w:p>
    <w:p>
      <w:pPr>
        <w:spacing w:after="0" w:line="7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19"/>
          <w:szCs w:val="19"/>
          <w:u w:val="single" w:color="auto"/>
          <w:color w:val="auto"/>
        </w:rPr>
        <w:t>Indemnification of Others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The Corporation shall have the power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spacing w:after="0" w:line="70"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9.3</w:t>
      </w:r>
      <w:r>
        <w:rPr>
          <w:sz w:val="20"/>
          <w:szCs w:val="20"/>
          <w:color w:val="auto"/>
        </w:rPr>
        <w:tab/>
      </w:r>
      <w:r>
        <w:rPr>
          <w:rFonts w:ascii="Times New Roman" w:cs="Times New Roman" w:eastAsia="Times New Roman" w:hAnsi="Times New Roman"/>
          <w:sz w:val="19"/>
          <w:szCs w:val="19"/>
          <w:u w:val="single" w:color="auto"/>
          <w:color w:val="auto"/>
        </w:rPr>
        <w:t>Prepayment of Expenses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Corporation shall to the fullest extent not prohibited by applicable law pay the expenses (including attorneys’ fees) incurred by any covered person, and may pay the expenses incurred by any employee or agent of the Corporation, in defending any Proceeding in advance of its final disposition;</w:t>
      </w:r>
    </w:p>
    <w:p>
      <w:pPr>
        <w:sectPr>
          <w:pgSz w:w="11900" w:h="16838" w:orient="portrait"/>
          <w:cols w:equalWidth="0" w:num="1">
            <w:col w:w="11240"/>
          </w:cols>
          <w:pgMar w:left="320" w:top="1413" w:right="339" w:bottom="1440" w:gutter="0" w:footer="0" w:header="0"/>
        </w:sectPr>
      </w:pPr>
    </w:p>
    <w:bookmarkStart w:id="44" w:name="page45"/>
    <w:bookmarkEnd w:id="44"/>
    <w:p>
      <w:pPr>
        <w:jc w:val="both"/>
        <w:spacing w:after="0" w:line="261" w:lineRule="auto"/>
        <w:rPr>
          <w:sz w:val="20"/>
          <w:szCs w:val="20"/>
          <w:color w:val="auto"/>
        </w:rPr>
      </w:pPr>
      <w:r>
        <w:rPr>
          <w:rFonts w:ascii="Times New Roman" w:cs="Times New Roman" w:eastAsia="Times New Roman" w:hAnsi="Times New Roman"/>
          <w:sz w:val="20"/>
          <w:szCs w:val="20"/>
          <w:color w:val="auto"/>
        </w:rPr>
        <w:t>provided, however, that such payment of expenses in advance of the final disposition of the Proceeding shall be made only upon receipt of an undertaking by the person to repay all amounts advanced if it should be ultimately determined that the person is not entitled to be indemnified under this Article IX or otherwise.</w:t>
      </w:r>
    </w:p>
    <w:p>
      <w:pPr>
        <w:spacing w:after="0" w:line="7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9.4</w:t>
      </w:r>
      <w:r>
        <w:rPr>
          <w:sz w:val="20"/>
          <w:szCs w:val="20"/>
          <w:color w:val="auto"/>
        </w:rPr>
        <w:tab/>
      </w:r>
      <w:r>
        <w:rPr>
          <w:rFonts w:ascii="Times New Roman" w:cs="Times New Roman" w:eastAsia="Times New Roman" w:hAnsi="Times New Roman"/>
          <w:sz w:val="19"/>
          <w:szCs w:val="19"/>
          <w:u w:val="single" w:color="auto"/>
          <w:color w:val="auto"/>
        </w:rPr>
        <w:t>Determination; Claim</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If a claim for indemnification (following the final disposition of such Proceeding) under this Article IX is not paid in full within sixty</w:t>
      </w:r>
    </w:p>
    <w:p>
      <w:pPr>
        <w:spacing w:after="0" w:line="40" w:lineRule="exact"/>
        <w:rPr>
          <w:sz w:val="20"/>
          <w:szCs w:val="20"/>
          <w:color w:val="auto"/>
        </w:rPr>
      </w:pPr>
    </w:p>
    <w:p>
      <w:pPr>
        <w:jc w:val="both"/>
        <w:ind w:firstLine="8"/>
        <w:spacing w:after="0" w:line="249" w:lineRule="auto"/>
        <w:tabs>
          <w:tab w:leader="none" w:pos="40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or a claim for advancement of expenses under this Article IX is not paid in full within thirty (30) days, after a written claim therefor has been received by the Corporation the claimant may thereafter (but not before)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payment of expenses under applicable law.</w:t>
      </w:r>
    </w:p>
    <w:p>
      <w:pPr>
        <w:spacing w:after="0" w:line="8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9.5</w:t>
      </w:r>
      <w:r>
        <w:rPr>
          <w:sz w:val="20"/>
          <w:szCs w:val="20"/>
          <w:color w:val="auto"/>
        </w:rPr>
        <w:tab/>
      </w:r>
      <w:r>
        <w:rPr>
          <w:rFonts w:ascii="Times New Roman" w:cs="Times New Roman" w:eastAsia="Times New Roman" w:hAnsi="Times New Roman"/>
          <w:sz w:val="19"/>
          <w:szCs w:val="19"/>
          <w:u w:val="single" w:color="auto"/>
          <w:color w:val="auto"/>
        </w:rPr>
        <w:t>Non-Exclusivity of Rights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rights conferred on any person by this Article IX shall not be exclusive of any other rights which such person may have or hereafter acquire under any statute, provision of the Certificate of Incorporation, these bylaws, agreement, vote of stockholders or disinterested directors or otherwise.</w:t>
      </w:r>
    </w:p>
    <w:p>
      <w:pPr>
        <w:spacing w:after="0" w:line="60"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9.6</w:t>
      </w:r>
      <w:r>
        <w:rPr>
          <w:sz w:val="20"/>
          <w:szCs w:val="20"/>
          <w:color w:val="auto"/>
        </w:rPr>
        <w:tab/>
      </w:r>
      <w:r>
        <w:rPr>
          <w:rFonts w:ascii="Times New Roman" w:cs="Times New Roman" w:eastAsia="Times New Roman" w:hAnsi="Times New Roman"/>
          <w:sz w:val="19"/>
          <w:szCs w:val="19"/>
          <w:u w:val="single" w:color="auto"/>
          <w:color w:val="auto"/>
        </w:rPr>
        <w:t>Insurance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spacing w:after="0" w:line="8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9.7</w:t>
      </w:r>
      <w:r>
        <w:rPr>
          <w:sz w:val="20"/>
          <w:szCs w:val="20"/>
          <w:color w:val="auto"/>
        </w:rPr>
        <w:tab/>
      </w:r>
      <w:r>
        <w:rPr>
          <w:rFonts w:ascii="Times New Roman" w:cs="Times New Roman" w:eastAsia="Times New Roman" w:hAnsi="Times New Roman"/>
          <w:sz w:val="19"/>
          <w:szCs w:val="19"/>
          <w:u w:val="single" w:color="auto"/>
          <w:color w:val="auto"/>
        </w:rPr>
        <w:t>Other Indemnification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Corporation’s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enterprise.</w:t>
      </w:r>
    </w:p>
    <w:p>
      <w:pPr>
        <w:spacing w:after="0" w:line="7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9.8</w:t>
      </w:r>
      <w:r>
        <w:rPr>
          <w:sz w:val="20"/>
          <w:szCs w:val="20"/>
          <w:color w:val="auto"/>
        </w:rPr>
        <w:tab/>
      </w:r>
      <w:r>
        <w:rPr>
          <w:rFonts w:ascii="Times New Roman" w:cs="Times New Roman" w:eastAsia="Times New Roman" w:hAnsi="Times New Roman"/>
          <w:sz w:val="19"/>
          <w:szCs w:val="19"/>
          <w:u w:val="single" w:color="auto"/>
          <w:color w:val="auto"/>
        </w:rPr>
        <w:t>Continuation of Indemnification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The rights to indemnification and to prepayment of expenses provided by, or granted pursuant to, this Article IX shall continue notwithstanding that the person has ceased to be a director or officer of the Corporation and shall inure to the benefit of the estate, heirs, executors, administrators, legatees and distributees of such person.</w:t>
      </w:r>
    </w:p>
    <w:p>
      <w:pPr>
        <w:spacing w:after="0" w:line="5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9.9</w:t>
      </w:r>
      <w:r>
        <w:rPr>
          <w:sz w:val="20"/>
          <w:szCs w:val="20"/>
          <w:color w:val="auto"/>
        </w:rPr>
        <w:tab/>
      </w:r>
      <w:r>
        <w:rPr>
          <w:rFonts w:ascii="Times New Roman" w:cs="Times New Roman" w:eastAsia="Times New Roman" w:hAnsi="Times New Roman"/>
          <w:sz w:val="19"/>
          <w:szCs w:val="19"/>
          <w:u w:val="single" w:color="auto"/>
          <w:color w:val="auto"/>
        </w:rPr>
        <w:t>Amendment or Repeal; Interpretation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provisions of this Article IX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Article IX the Corporation intends to be legally bound to each such current or former director or officer of the Corporation. With respect to current and former</w:t>
      </w:r>
    </w:p>
    <w:p>
      <w:pPr>
        <w:sectPr>
          <w:pgSz w:w="11900" w:h="16838" w:orient="portrait"/>
          <w:cols w:equalWidth="0" w:num="1">
            <w:col w:w="11240"/>
          </w:cols>
          <w:pgMar w:left="320" w:top="1413" w:right="339" w:bottom="1440" w:gutter="0" w:footer="0" w:header="0"/>
        </w:sectPr>
      </w:pPr>
    </w:p>
    <w:bookmarkStart w:id="45" w:name="page46"/>
    <w:bookmarkEnd w:id="45"/>
    <w:p>
      <w:pPr>
        <w:jc w:val="both"/>
        <w:spacing w:after="0" w:line="264" w:lineRule="auto"/>
        <w:rPr>
          <w:sz w:val="20"/>
          <w:szCs w:val="20"/>
          <w:color w:val="auto"/>
        </w:rPr>
      </w:pPr>
      <w:r>
        <w:rPr>
          <w:rFonts w:ascii="Times New Roman" w:cs="Times New Roman" w:eastAsia="Times New Roman" w:hAnsi="Times New Roman"/>
          <w:sz w:val="19"/>
          <w:szCs w:val="19"/>
          <w:color w:val="auto"/>
        </w:rPr>
        <w:t>directors and officers of the Corporation, the rights conferred under this Article IX are present contractual rights and such rights are fully vested, and shall be deemed to have vested fully, immediately upon adoption of these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Article IX shall not adversely affect any right or protection (i) hereunder of any person in respect of any act or omission occurring prior to the time of such repeal or modification or</w:t>
      </w:r>
    </w:p>
    <w:p>
      <w:pPr>
        <w:spacing w:after="0" w:line="4" w:lineRule="exact"/>
        <w:rPr>
          <w:sz w:val="20"/>
          <w:szCs w:val="20"/>
          <w:color w:val="auto"/>
        </w:rPr>
      </w:pPr>
    </w:p>
    <w:p>
      <w:pPr>
        <w:ind w:firstLine="8"/>
        <w:spacing w:after="0" w:line="253" w:lineRule="auto"/>
        <w:tabs>
          <w:tab w:leader="none" w:pos="29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any agreement providing for indemnification or advancement of expenses to an officer or director of the Corporation in effect prior to the time of such repeal or modification.</w:t>
      </w:r>
    </w:p>
    <w:p>
      <w:pPr>
        <w:spacing w:after="0" w:line="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Any reference to an officer of the Corporation in this Article IX shall be deemed to refer exclusively to the Chief Executive Officer, President, Secretary, and Treasurer, or other officer of the Corporation appointed by (x) the Board pursuant to Article V of these bylaws or (y) an officer to whom the Board has delegated the power to appoint officers pursuant to Article V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 officer of the Corporation or of such other corporation, partnership, joint venture, trust, employee benefit plan or other enterprise for purposes of this Article IX.</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 - Amendments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The Board is expressly empowered to adopt, amend or repeal the bylaws of the Corporation. The stockholders also shall have power to adopt, amend or repeal the bylaws of the Corporation; provided, however, that such action by stockholders shall require, in addition to any other vote required by the Certificate of Incorporation or applicable law, the affirmative vote of the holders of at least two-thirds of the voting power of all the then-outstanding shares of voting stock of the Corporation with the power to vote generally in an election of directors, voting together as a single class.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XI - Definitions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used in these bylaws, unless the context otherwise requires, the following terms shall have the following meanings: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An “</w:t>
      </w:r>
      <w:r>
        <w:rPr>
          <w:rFonts w:ascii="Times New Roman" w:cs="Times New Roman" w:eastAsia="Times New Roman" w:hAnsi="Times New Roman"/>
          <w:sz w:val="20"/>
          <w:szCs w:val="20"/>
          <w:u w:val="single" w:color="auto"/>
          <w:color w:val="auto"/>
        </w:rPr>
        <w:t>electronic transmission</w:t>
      </w:r>
      <w:r>
        <w:rPr>
          <w:rFonts w:ascii="Times New Roman" w:cs="Times New Roman" w:eastAsia="Times New Roman" w:hAnsi="Times New Roman"/>
          <w:sz w:val="20"/>
          <w:szCs w:val="20"/>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7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An “</w:t>
      </w:r>
      <w:r>
        <w:rPr>
          <w:rFonts w:ascii="Times New Roman" w:cs="Times New Roman" w:eastAsia="Times New Roman" w:hAnsi="Times New Roman"/>
          <w:sz w:val="20"/>
          <w:szCs w:val="20"/>
          <w:u w:val="single" w:color="auto"/>
          <w:color w:val="auto"/>
        </w:rPr>
        <w:t>electronic mail</w:t>
      </w:r>
      <w:r>
        <w:rPr>
          <w:rFonts w:ascii="Times New Roman" w:cs="Times New Roman" w:eastAsia="Times New Roman" w:hAnsi="Times New Roman"/>
          <w:sz w:val="20"/>
          <w:szCs w:val="20"/>
          <w:color w:val="auto"/>
        </w:rPr>
        <w:t>” means an electronic transmission directed to a unique electronic mail address (which electronic mail shall be deemed to include any files attached thereto and any information</w:t>
      </w:r>
    </w:p>
    <w:p>
      <w:pPr>
        <w:sectPr>
          <w:pgSz w:w="11900" w:h="16838" w:orient="portrait"/>
          <w:cols w:equalWidth="0" w:num="1">
            <w:col w:w="11240"/>
          </w:cols>
          <w:pgMar w:left="320" w:top="1413" w:right="339" w:bottom="1440" w:gutter="0" w:footer="0" w:header="0"/>
        </w:sectPr>
      </w:pPr>
    </w:p>
    <w:bookmarkStart w:id="46" w:name="page47"/>
    <w:bookmarkEnd w:id="46"/>
    <w:p>
      <w:pPr>
        <w:jc w:val="both"/>
        <w:spacing w:after="0" w:line="283" w:lineRule="auto"/>
        <w:rPr>
          <w:sz w:val="20"/>
          <w:szCs w:val="20"/>
          <w:color w:val="auto"/>
        </w:rPr>
      </w:pPr>
      <w:r>
        <w:rPr>
          <w:rFonts w:ascii="Times New Roman" w:cs="Times New Roman" w:eastAsia="Times New Roman" w:hAnsi="Times New Roman"/>
          <w:sz w:val="20"/>
          <w:szCs w:val="20"/>
          <w:color w:val="auto"/>
        </w:rPr>
        <w:t>hyperlinked to a website if such electronic mail includes the contact information of an officer or agent of the Corporation who is available to assist with accessing such files and information).</w:t>
      </w:r>
    </w:p>
    <w:p>
      <w:pPr>
        <w:spacing w:after="0" w:line="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An “</w:t>
      </w:r>
      <w:r>
        <w:rPr>
          <w:rFonts w:ascii="Times New Roman" w:cs="Times New Roman" w:eastAsia="Times New Roman" w:hAnsi="Times New Roman"/>
          <w:sz w:val="20"/>
          <w:szCs w:val="20"/>
          <w:u w:val="single" w:color="auto"/>
          <w:color w:val="auto"/>
        </w:rPr>
        <w:t>electronic mail address</w:t>
      </w:r>
      <w:r>
        <w:rPr>
          <w:rFonts w:ascii="Times New Roman" w:cs="Times New Roman" w:eastAsia="Times New Roman" w:hAnsi="Times New Roman"/>
          <w:sz w:val="20"/>
          <w:szCs w:val="20"/>
          <w:color w:val="auto"/>
        </w:rPr>
        <w:t>”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spacing w:after="0" w:line="7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1."/>
      <w:numFmt w:val="decimal"/>
      <w:start w:val="1"/>
    </w:lvl>
  </w:abstractNum>
  <w:abstractNum w:abstractNumId="2">
    <w:nsid w:val="4353D0CD"/>
    <w:multiLevelType w:val="hybridMultilevel"/>
    <w:lvl w:ilvl="0">
      <w:lvlJc w:val="left"/>
      <w:lvlText w:val="%1"/>
      <w:numFmt w:val="decimal"/>
      <w:start w:val="1"/>
    </w:lvl>
    <w:lvl w:ilvl="1">
      <w:lvlJc w:val="left"/>
      <w:lvlText w:val="%2."/>
      <w:numFmt w:val="decimal"/>
      <w:start w:val="1"/>
    </w:lvl>
  </w:abstractNum>
  <w:abstractNum w:abstractNumId="3">
    <w:nsid w:val="B03E0C6"/>
    <w:multiLevelType w:val="hybridMultilevel"/>
    <w:lvl w:ilvl="0">
      <w:lvlJc w:val="left"/>
      <w:lvlText w:val="%1."/>
      <w:numFmt w:val="decimal"/>
      <w:start w:val="2"/>
    </w:lvl>
    <w:lvl w:ilvl="1">
      <w:lvlJc w:val="left"/>
      <w:lvlText w:val="%2"/>
      <w:numFmt w:val="decimal"/>
      <w:start w:val="1"/>
    </w:lvl>
  </w:abstractNum>
  <w:abstractNum w:abstractNumId="4">
    <w:nsid w:val="189A769B"/>
    <w:multiLevelType w:val="hybridMultilevel"/>
    <w:lvl w:ilvl="0">
      <w:lvlJc w:val="left"/>
      <w:lvlText w:val="%1."/>
      <w:numFmt w:val="decimal"/>
      <w:start w:val="3"/>
    </w:lvl>
    <w:lvl w:ilvl="1">
      <w:lvlJc w:val="left"/>
      <w:lvlText w:val="%2."/>
      <w:numFmt w:val="lowerLetter"/>
      <w:start w:val="1"/>
    </w:lvl>
  </w:abstractNum>
  <w:abstractNum w:abstractNumId="5">
    <w:nsid w:val="54E49EB4"/>
    <w:multiLevelType w:val="hybridMultilevel"/>
    <w:lvl w:ilvl="0">
      <w:lvlJc w:val="left"/>
      <w:lvlText w:val="%1."/>
      <w:numFmt w:val="lowerLetter"/>
      <w:start w:val="3"/>
    </w:lvl>
    <w:lvl w:ilvl="1">
      <w:lvlJc w:val="left"/>
      <w:lvlText w:val="(%2)"/>
      <w:numFmt w:val="lowerRoman"/>
      <w:start w:val="1"/>
    </w:lvl>
  </w:abstractNum>
  <w:abstractNum w:abstractNumId="6">
    <w:nsid w:val="71F32454"/>
    <w:multiLevelType w:val="hybridMultilevel"/>
    <w:lvl w:ilvl="0">
      <w:lvlJc w:val="left"/>
      <w:lvlText w:val="%1"/>
      <w:numFmt w:val="lowerLetter"/>
      <w:start w:val="1"/>
    </w:lvl>
    <w:lvl w:ilvl="1">
      <w:lvlJc w:val="left"/>
      <w:lvlText w:val="(%2)"/>
      <w:numFmt w:val="lowerRoman"/>
      <w:start w:val="5"/>
    </w:lvl>
  </w:abstractNum>
  <w:abstractNum w:abstractNumId="7">
    <w:nsid w:val="2CA88611"/>
    <w:multiLevelType w:val="hybridMultilevel"/>
    <w:lvl w:ilvl="0">
      <w:lvlJc w:val="left"/>
      <w:lvlText w:val="%1."/>
      <w:numFmt w:val="lowerLetter"/>
      <w:start w:val="4"/>
    </w:lvl>
    <w:lvl w:ilvl="1">
      <w:lvlJc w:val="left"/>
      <w:lvlText w:val="(%2)"/>
      <w:numFmt w:val="lowerRoman"/>
      <w:start w:val="1"/>
    </w:lvl>
  </w:abstractNum>
  <w:abstractNum w:abstractNumId="8">
    <w:nsid w:val="836C40E"/>
    <w:multiLevelType w:val="hybridMultilevel"/>
    <w:lvl w:ilvl="0">
      <w:lvlJc w:val="left"/>
      <w:lvlText w:val="%1."/>
      <w:numFmt w:val="lowerLetter"/>
      <w:start w:val="5"/>
    </w:lvl>
    <w:lvl w:ilvl="1">
      <w:lvlJc w:val="left"/>
      <w:lvlText w:val="(%2)"/>
      <w:numFmt w:val="lowerRoman"/>
      <w:start w:val="2"/>
    </w:lvl>
  </w:abstractNum>
  <w:abstractNum w:abstractNumId="9">
    <w:nsid w:val="2901D82"/>
    <w:multiLevelType w:val="hybridMultilevel"/>
    <w:lvl w:ilvl="0">
      <w:lvlJc w:val="left"/>
      <w:lvlText w:val="%1"/>
      <w:numFmt w:val="decimal"/>
      <w:start w:val="1"/>
    </w:lvl>
    <w:lvl w:ilvl="1">
      <w:lvlJc w:val="left"/>
      <w:lvlText w:val="%2."/>
      <w:numFmt w:val="lowerLetter"/>
      <w:start w:val="6"/>
    </w:lvl>
  </w:abstractNum>
  <w:abstractNum w:abstractNumId="10">
    <w:nsid w:val="3A95F874"/>
    <w:multiLevelType w:val="hybridMultilevel"/>
    <w:lvl w:ilvl="0">
      <w:lvlJc w:val="left"/>
      <w:lvlText w:val="%1."/>
      <w:numFmt w:val="decimal"/>
      <w:start w:val="5"/>
    </w:lvl>
    <w:lvl w:ilvl="1">
      <w:lvlJc w:val="left"/>
      <w:lvlText w:val="%2"/>
      <w:numFmt w:val="lowerLetter"/>
      <w:start w:val="1"/>
    </w:lvl>
  </w:abstractNum>
  <w:abstractNum w:abstractNumId="11">
    <w:nsid w:val="8138641"/>
    <w:multiLevelType w:val="hybridMultilevel"/>
    <w:lvl w:ilvl="0">
      <w:lvlJc w:val="left"/>
      <w:lvlText w:val="%1"/>
      <w:numFmt w:val="upperLetter"/>
      <w:start w:val="1"/>
    </w:lvl>
    <w:lvl w:ilvl="1">
      <w:lvlJc w:val="left"/>
      <w:lvlText w:val="%2"/>
      <w:numFmt w:val="decimal"/>
      <w:start w:val="1"/>
    </w:lvl>
    <w:lvl w:ilvl="2">
      <w:lvlJc w:val="left"/>
      <w:lvlText w:val="%3."/>
      <w:numFmt w:val="decimal"/>
      <w:start w:val="7"/>
    </w:lvl>
  </w:abstractNum>
  <w:abstractNum w:abstractNumId="12">
    <w:nsid w:val="1E7FF521"/>
    <w:multiLevelType w:val="hybridMultilevel"/>
    <w:lvl w:ilvl="0">
      <w:lvlJc w:val="left"/>
      <w:lvlText w:val="%1."/>
      <w:numFmt w:val="upperLetter"/>
      <w:start w:val="2"/>
    </w:lvl>
    <w:lvl w:ilvl="1">
      <w:lvlJc w:val="left"/>
      <w:lvlText w:val="%2."/>
      <w:numFmt w:val="decimal"/>
      <w:start w:val="1"/>
    </w:lvl>
    <w:lvl w:ilvl="2">
      <w:lvlJc w:val="left"/>
      <w:lvlText w:val="%3"/>
      <w:numFmt w:val="decimal"/>
      <w:start w:val="1"/>
    </w:lvl>
  </w:abstractNum>
  <w:abstractNum w:abstractNumId="13">
    <w:nsid w:val="7C3DBD3D"/>
    <w:multiLevelType w:val="hybridMultilevel"/>
    <w:lvl w:ilvl="0">
      <w:lvlJc w:val="left"/>
      <w:lvlText w:val="%1."/>
      <w:numFmt w:val="upperLetter"/>
      <w:start w:val="1"/>
    </w:lvl>
  </w:abstractNum>
  <w:abstractNum w:abstractNumId="14">
    <w:nsid w:val="737B8DDC"/>
    <w:multiLevelType w:val="hybridMultilevel"/>
    <w:lvl w:ilvl="0">
      <w:lvlJc w:val="left"/>
      <w:lvlText w:val="%1."/>
      <w:numFmt w:val="upperLetter"/>
      <w:start w:val="2"/>
    </w:lvl>
  </w:abstractNum>
  <w:abstractNum w:abstractNumId="15">
    <w:nsid w:val="6CEAF087"/>
    <w:multiLevelType w:val="hybridMultilevel"/>
    <w:lvl w:ilvl="0">
      <w:lvlJc w:val="left"/>
      <w:lvlText w:val="%1."/>
      <w:numFmt w:val="upperLetter"/>
      <w:start w:val="7"/>
    </w:lvl>
  </w:abstractNum>
  <w:abstractNum w:abstractNumId="16">
    <w:nsid w:val="22221A70"/>
    <w:multiLevelType w:val="hybridMultilevel"/>
    <w:lvl w:ilvl="0">
      <w:lvlJc w:val="left"/>
      <w:lvlText w:val="%1."/>
      <w:numFmt w:val="upperLetter"/>
      <w:start w:val="1"/>
    </w:lvl>
  </w:abstractNum>
  <w:abstractNum w:abstractNumId="17">
    <w:nsid w:val="4516DDE9"/>
    <w:multiLevelType w:val="hybridMultilevel"/>
    <w:lvl w:ilvl="0">
      <w:lvlJc w:val="left"/>
      <w:lvlText w:val="(%1)"/>
      <w:numFmt w:val="lowerLetter"/>
      <w:start w:val="2"/>
    </w:lvl>
  </w:abstractNum>
  <w:abstractNum w:abstractNumId="18">
    <w:nsid w:val="3006C83E"/>
    <w:multiLevelType w:val="hybridMultilevel"/>
    <w:lvl w:ilvl="0">
      <w:lvlJc w:val="left"/>
      <w:lvlText w:val="%1."/>
      <w:numFmt w:val="upperLetter"/>
      <w:start w:val="1"/>
    </w:lvl>
  </w:abstractNum>
  <w:abstractNum w:abstractNumId="19">
    <w:nsid w:val="614FD4A1"/>
    <w:multiLevelType w:val="hybridMultilevel"/>
    <w:lvl w:ilvl="0">
      <w:lvlJc w:val="left"/>
      <w:lvlText w:val="(%1)"/>
      <w:numFmt w:val="lowerLetter"/>
      <w:start w:val="1"/>
    </w:lvl>
  </w:abstractNum>
  <w:abstractNum w:abstractNumId="20">
    <w:nsid w:val="419AC241"/>
    <w:multiLevelType w:val="hybridMultilevel"/>
    <w:lvl w:ilvl="0">
      <w:lvlJc w:val="left"/>
      <w:lvlText w:val="(%1)"/>
      <w:numFmt w:val="upperLetter"/>
      <w:start w:val="2"/>
    </w:lvl>
    <w:lvl w:ilvl="1">
      <w:lvlJc w:val="left"/>
      <w:lvlText w:val="(%2)"/>
      <w:numFmt w:val="lowerLetter"/>
      <w:start w:val="2"/>
    </w:lvl>
    <w:lvl w:ilvl="2">
      <w:lvlJc w:val="left"/>
      <w:lvlText w:val="(%3)"/>
      <w:numFmt w:val="lowerLetter"/>
      <w:start w:val="9"/>
    </w:lvl>
  </w:abstractNum>
  <w:abstractNum w:abstractNumId="21">
    <w:nsid w:val="5577F8E1"/>
    <w:multiLevelType w:val="hybridMultilevel"/>
    <w:lvl w:ilvl="0">
      <w:lvlJc w:val="left"/>
      <w:lvlText w:val="(%1)"/>
      <w:numFmt w:val="lowerLetter"/>
      <w:start w:val="35"/>
    </w:lvl>
    <w:lvl w:ilvl="1">
      <w:lvlJc w:val="left"/>
      <w:lvlText w:val="(%2)"/>
      <w:numFmt w:val="upperLetter"/>
      <w:start w:val="1"/>
    </w:lvl>
    <w:lvl w:ilvl="2">
      <w:lvlJc w:val="left"/>
      <w:lvlText w:val="(%3)"/>
      <w:numFmt w:val="decimal"/>
      <w:start w:val="1"/>
    </w:lvl>
    <w:lvl w:ilvl="3">
      <w:lvlJc w:val="left"/>
      <w:lvlText w:val="(%4)"/>
      <w:numFmt w:val="lowerLetter"/>
      <w:start w:val="24"/>
    </w:lvl>
  </w:abstractNum>
  <w:abstractNum w:abstractNumId="22">
    <w:nsid w:val="440BADFC"/>
    <w:multiLevelType w:val="hybridMultilevel"/>
    <w:lvl w:ilvl="0">
      <w:lvlJc w:val="left"/>
      <w:lvlText w:val="(%1)"/>
      <w:numFmt w:val="upperLetter"/>
      <w:start w:val="2"/>
    </w:lvl>
  </w:abstractNum>
  <w:abstractNum w:abstractNumId="23">
    <w:nsid w:val="5072367"/>
    <w:multiLevelType w:val="hybridMultilevel"/>
    <w:lvl w:ilvl="0">
      <w:lvlJc w:val="left"/>
      <w:lvlText w:val="(%1)"/>
      <w:numFmt w:val="lowerRoman"/>
      <w:start w:val="3"/>
    </w:lvl>
  </w:abstractNum>
  <w:abstractNum w:abstractNumId="24">
    <w:nsid w:val="3804823E"/>
    <w:multiLevelType w:val="hybridMultilevel"/>
    <w:lvl w:ilvl="0">
      <w:lvlJc w:val="left"/>
      <w:lvlText w:val="(%1)"/>
      <w:numFmt w:val="lowerLetter"/>
      <w:start w:val="4"/>
    </w:lvl>
  </w:abstractNum>
  <w:abstractNum w:abstractNumId="25">
    <w:nsid w:val="77465F01"/>
    <w:multiLevelType w:val="hybridMultilevel"/>
    <w:lvl w:ilvl="0">
      <w:lvlJc w:val="left"/>
      <w:lvlText w:val="(%1)"/>
      <w:numFmt w:val="decimal"/>
      <w:start w:val="8"/>
    </w:lvl>
  </w:abstractNum>
  <w:abstractNum w:abstractNumId="26">
    <w:nsid w:val="7724C67E"/>
    <w:multiLevelType w:val="hybridMultilevel"/>
    <w:lvl w:ilvl="0">
      <w:lvlJc w:val="left"/>
      <w:lvlText w:val="(%1)"/>
      <w:numFmt w:val="lowerLetter"/>
      <w:start w:val="6"/>
    </w:lvl>
  </w:abstractNum>
  <w:abstractNum w:abstractNumId="27">
    <w:nsid w:val="5C482A97"/>
    <w:multiLevelType w:val="hybridMultilevel"/>
    <w:lvl w:ilvl="0">
      <w:lvlJc w:val="left"/>
      <w:lvlText w:val="(%1)"/>
      <w:numFmt w:val="lowerLetter"/>
      <w:start w:val="1"/>
    </w:lvl>
  </w:abstractNum>
  <w:abstractNum w:abstractNumId="28">
    <w:nsid w:val="2463B9EA"/>
    <w:multiLevelType w:val="hybridMultilevel"/>
    <w:lvl w:ilvl="0">
      <w:lvlJc w:val="left"/>
      <w:lvlText w:val="(%1)"/>
      <w:numFmt w:val="lowerRoman"/>
      <w:start w:val="2"/>
    </w:lvl>
  </w:abstractNum>
  <w:abstractNum w:abstractNumId="29">
    <w:nsid w:val="5E884ADC"/>
    <w:multiLevelType w:val="hybridMultilevel"/>
    <w:lvl w:ilvl="0">
      <w:lvlJc w:val="left"/>
      <w:lvlText w:val="(%1)"/>
      <w:numFmt w:val="lowerLetter"/>
      <w:start w:val="3"/>
    </w:lvl>
    <w:lvl w:ilvl="1">
      <w:lvlJc w:val="left"/>
      <w:lvlText w:val="(%2)"/>
      <w:numFmt w:val="lowerRoman"/>
      <w:start w:val="1"/>
    </w:lvl>
  </w:abstractNum>
  <w:abstractNum w:abstractNumId="30">
    <w:nsid w:val="51EAD36B"/>
    <w:multiLevelType w:val="hybridMultilevel"/>
    <w:lvl w:ilvl="0">
      <w:lvlJc w:val="left"/>
      <w:lvlText w:val="%1"/>
      <w:numFmt w:val="lowerLetter"/>
      <w:start w:val="1"/>
    </w:lvl>
    <w:lvl w:ilvl="1">
      <w:lvlJc w:val="left"/>
      <w:lvlText w:val="(%2)"/>
      <w:numFmt w:val="lowerLetter"/>
      <w:start w:val="4"/>
    </w:lvl>
  </w:abstractNum>
  <w:abstractNum w:abstractNumId="31">
    <w:nsid w:val="2D517796"/>
    <w:multiLevelType w:val="hybridMultilevel"/>
    <w:lvl w:ilvl="0">
      <w:lvlJc w:val="left"/>
      <w:lvlText w:val="(%1)"/>
      <w:numFmt w:val="lowerLetter"/>
      <w:start w:val="5"/>
    </w:lvl>
    <w:lvl w:ilvl="1">
      <w:lvlJc w:val="left"/>
      <w:lvlText w:val="%2"/>
      <w:numFmt w:val="lowerLetter"/>
      <w:start w:val="1"/>
    </w:lvl>
  </w:abstractNum>
  <w:abstractNum w:abstractNumId="32">
    <w:nsid w:val="580BD78F"/>
    <w:multiLevelType w:val="hybridMultilevel"/>
    <w:lvl w:ilvl="0">
      <w:lvlJc w:val="left"/>
      <w:lvlText w:val="(%1)"/>
      <w:numFmt w:val="lowerLetter"/>
      <w:start w:val="6"/>
    </w:lvl>
  </w:abstractNum>
  <w:abstractNum w:abstractNumId="33">
    <w:nsid w:val="153EA438"/>
    <w:multiLevelType w:val="hybridMultilevel"/>
    <w:lvl w:ilvl="0">
      <w:lvlJc w:val="left"/>
      <w:lvlText w:val="%1"/>
      <w:numFmt w:val="decimal"/>
      <w:start w:val="1"/>
    </w:lvl>
    <w:lvl w:ilvl="1">
      <w:lvlJc w:val="left"/>
      <w:lvlText w:val="(%2)"/>
      <w:numFmt w:val="lowerLetter"/>
      <w:start w:val="1"/>
    </w:lvl>
  </w:abstractNum>
  <w:abstractNum w:abstractNumId="34">
    <w:nsid w:val="3855585C"/>
    <w:multiLevelType w:val="hybridMultilevel"/>
    <w:lvl w:ilvl="0">
      <w:lvlJc w:val="left"/>
      <w:lvlText w:val="(%1)"/>
      <w:numFmt w:val="decimal"/>
      <w:start w:val="1"/>
    </w:lvl>
    <w:lvl w:ilvl="1">
      <w:lvlJc w:val="left"/>
      <w:lvlText w:val="%2"/>
      <w:numFmt w:val="lowerLetter"/>
      <w:start w:val="1"/>
    </w:lvl>
  </w:abstractNum>
  <w:abstractNum w:abstractNumId="35">
    <w:nsid w:val="70A64E2A"/>
    <w:multiLevelType w:val="hybridMultilevel"/>
    <w:lvl w:ilvl="0">
      <w:lvlJc w:val="left"/>
      <w:lvlText w:val="(%1)"/>
      <w:numFmt w:val="lowerLetter"/>
      <w:start w:val="2"/>
    </w:lvl>
  </w:abstractNum>
  <w:abstractNum w:abstractNumId="36">
    <w:nsid w:val="6A2342EC"/>
    <w:multiLevelType w:val="hybridMultilevel"/>
    <w:lvl w:ilvl="0">
      <w:lvlJc w:val="left"/>
      <w:lvlText w:val="(%1)"/>
      <w:numFmt w:val="lowerLetter"/>
      <w:start w:val="3"/>
    </w:lvl>
  </w:abstractNum>
  <w:abstractNum w:abstractNumId="37">
    <w:nsid w:val="2A487CB0"/>
    <w:multiLevelType w:val="hybridMultilevel"/>
    <w:lvl w:ilvl="0">
      <w:lvlJc w:val="left"/>
      <w:lvlText w:val="(%1)"/>
      <w:numFmt w:val="lowerRoman"/>
      <w:start w:val="1"/>
    </w:lvl>
  </w:abstractNum>
  <w:abstractNum w:abstractNumId="38">
    <w:nsid w:val="1D4ED43B"/>
    <w:multiLevelType w:val="hybridMultilevel"/>
    <w:lvl w:ilvl="0">
      <w:lvlJc w:val="left"/>
      <w:lvlText w:val="(%1)"/>
      <w:numFmt w:val="lowerRoman"/>
      <w:start w:val="5"/>
    </w:lvl>
  </w:abstractNum>
  <w:abstractNum w:abstractNumId="39">
    <w:nsid w:val="725A06FB"/>
    <w:multiLevelType w:val="hybridMultilevel"/>
    <w:lvl w:ilvl="0">
      <w:lvlJc w:val="left"/>
      <w:lvlText w:val="(%1)"/>
      <w:numFmt w:val="lowerRoman"/>
      <w:start w:val="1"/>
    </w:lvl>
  </w:abstractNum>
  <w:abstractNum w:abstractNumId="40">
    <w:nsid w:val="2CD89A32"/>
    <w:multiLevelType w:val="hybridMultilevel"/>
    <w:lvl w:ilvl="0">
      <w:lvlJc w:val="left"/>
      <w:lvlText w:val="(%1)"/>
      <w:numFmt w:val="lowerRoman"/>
      <w:start w:val="1"/>
    </w:lvl>
  </w:abstractNum>
  <w:abstractNum w:abstractNumId="41">
    <w:nsid w:val="57E4CCAF"/>
    <w:multiLevelType w:val="hybridMultilevel"/>
    <w:lvl w:ilvl="0">
      <w:lvlJc w:val="left"/>
      <w:lvlText w:val="(%1)"/>
      <w:numFmt w:val="lowerRoman"/>
      <w:start w:val="1"/>
    </w:lvl>
  </w:abstractNum>
  <w:abstractNum w:abstractNumId="42">
    <w:nsid w:val="7A6D8D3C"/>
    <w:multiLevelType w:val="hybridMultilevel"/>
    <w:lvl w:ilvl="0">
      <w:lvlJc w:val="left"/>
      <w:lvlText w:val="(%1)"/>
      <w:numFmt w:val="lowerRoman"/>
      <w:start w:val="2"/>
    </w:lvl>
  </w:abstractNum>
  <w:abstractNum w:abstractNumId="43">
    <w:nsid w:val="4B588F54"/>
    <w:multiLevelType w:val="hybridMultilevel"/>
    <w:lvl w:ilvl="0">
      <w:lvlJc w:val="left"/>
      <w:lvlText w:val="(%1)"/>
      <w:numFmt w:val="lowerRoman"/>
      <w:start w:val="3"/>
    </w:lvl>
  </w:abstractNum>
  <w:abstractNum w:abstractNumId="44">
    <w:nsid w:val="542289EC"/>
    <w:multiLevelType w:val="hybridMultilevel"/>
    <w:lvl w:ilvl="0">
      <w:lvlJc w:val="left"/>
      <w:lvlText w:val="(%1)"/>
      <w:numFmt w:val="lowerRoman"/>
      <w:start w:val="1"/>
    </w:lvl>
  </w:abstractNum>
  <w:abstractNum w:abstractNumId="45">
    <w:nsid w:val="6DE91B18"/>
    <w:multiLevelType w:val="hybridMultilevel"/>
    <w:lvl w:ilvl="0">
      <w:lvlJc w:val="left"/>
      <w:lvlText w:val="(%1)"/>
      <w:numFmt w:val="lowerRoman"/>
      <w:start w:val="2"/>
    </w:lvl>
  </w:abstractNum>
  <w:abstractNum w:abstractNumId="46">
    <w:nsid w:val="38437FDB"/>
    <w:multiLevelType w:val="hybridMultilevel"/>
    <w:lvl w:ilvl="0">
      <w:lvlJc w:val="left"/>
      <w:lvlText w:val="(%1)"/>
      <w:numFmt w:val="decimal"/>
      <w:start w:val="60"/>
    </w:lvl>
  </w:abstractNum>
  <w:abstractNum w:abstractNumId="47">
    <w:nsid w:val="7644A45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2026-05-15T06:03:47Z</dcterms:created>
  <dcterms:modified xsi:type="dcterms:W3CDTF">2026-05-15T06:03:47Z</dcterms:modified>
</cp:coreProperties>
</file>