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5" w:lineRule="exact"/>
        <w:rPr>
          <w:sz w:val="24"/>
          <w:szCs w:val="24"/>
          <w:color w:val="auto"/>
        </w:rPr>
      </w:pPr>
    </w:p>
    <w:p>
      <w:pPr>
        <w:ind w:left="320" w:right="2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5135245</wp:posOffset>
            </wp:positionH>
            <wp:positionV relativeFrom="paragraph">
              <wp:posOffset>-585470</wp:posOffset>
            </wp:positionV>
            <wp:extent cx="55880"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880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-585470</wp:posOffset>
            </wp:positionV>
            <wp:extent cx="55880" cy="598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880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617855</wp:posOffset>
            </wp:positionV>
            <wp:extent cx="7002145" cy="6505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6505575"/>
                    </a:xfrm>
                    <a:prstGeom prst="rect">
                      <a:avLst/>
                    </a:prstGeom>
                    <a:noFill/>
                  </pic:spPr>
                </pic:pic>
              </a:graphicData>
            </a:graphic>
          </wp:anchor>
        </w:drawing>
      </w:r>
    </w:p>
    <w:p>
      <w:pPr>
        <w:spacing w:after="0" w:line="980" w:lineRule="exact"/>
        <w:rPr>
          <w:sz w:val="24"/>
          <w:szCs w:val="24"/>
          <w:color w:val="auto"/>
        </w:rPr>
      </w:pPr>
    </w:p>
    <w:p>
      <w:pPr>
        <w:sectPr>
          <w:pgSz w:w="11900" w:h="16853" w:orient="portrait"/>
          <w:cols w:equalWidth="0" w:num="2">
            <w:col w:w="2300" w:space="480"/>
            <w:col w:w="830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Yadigaroglu Ion</w:t>
              </w:r>
            </w:hyperlink>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7"/>
          </w:tcPr>
          <w:p>
            <w:pPr>
              <w:ind w:left="60"/>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Fervo Energy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FRVO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2"/>
                <w:szCs w:val="12"/>
                <w:color w:val="auto"/>
                <w:w w:val="96"/>
              </w:rPr>
              <w:t>Officer (give title</w:t>
            </w:r>
          </w:p>
        </w:tc>
        <w:tc>
          <w:tcPr>
            <w:tcW w:w="440" w:type="dxa"/>
            <w:vAlign w:val="bottom"/>
          </w:tcPr>
          <w:p>
            <w:pPr>
              <w:spacing w:after="0"/>
              <w:rPr>
                <w:sz w:val="7"/>
                <w:szCs w:val="7"/>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2"/>
                <w:szCs w:val="12"/>
                <w:color w:val="auto"/>
              </w:rPr>
              <w:t>below)</w:t>
            </w: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7"/>
              </w:rPr>
              <w:t>C/O FERVO ENERGY COMPANY</w:t>
            </w:r>
          </w:p>
        </w:tc>
        <w:tc>
          <w:tcPr>
            <w:tcW w:w="940" w:type="dxa"/>
            <w:vAlign w:val="bottom"/>
          </w:tcPr>
          <w:p>
            <w:pPr>
              <w:spacing w:after="0"/>
              <w:rPr>
                <w:sz w:val="19"/>
                <w:szCs w:val="19"/>
                <w:color w:val="auto"/>
              </w:rPr>
            </w:pPr>
          </w:p>
        </w:tc>
        <w:tc>
          <w:tcPr>
            <w:tcW w:w="140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0000FF"/>
              </w:rPr>
              <w:t>12/04/2025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811 MAIN STREET, SUITE 1700</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2"/>
                <w:szCs w:val="2"/>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6"/>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vMerge w:val="continue"/>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5"/>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HOUSTON</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77002</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gridSpan w:val="3"/>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gridSpan w:val="5"/>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8"/>
          </w:tcPr>
          <w:p>
            <w:pPr>
              <w:jc w:val="center"/>
              <w:ind w:right="183"/>
              <w:spacing w:after="0"/>
              <w:rPr>
                <w:sz w:val="20"/>
                <w:szCs w:val="20"/>
                <w:color w:val="auto"/>
              </w:rPr>
            </w:pPr>
            <w:r>
              <w:rPr>
                <w:rFonts w:ascii="Arial" w:cs="Arial" w:eastAsia="Arial" w:hAnsi="Arial"/>
                <w:sz w:val="16"/>
                <w:szCs w:val="16"/>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6"/>
          </w:tcPr>
          <w:p>
            <w:pPr>
              <w:ind w:left="8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4"/>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6"/>
          </w:tcPr>
          <w:p>
            <w:pPr>
              <w:ind w:left="880"/>
              <w:spacing w:after="0" w:line="121"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12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6"/>
          </w:tcPr>
          <w:p>
            <w:pPr>
              <w:ind w:left="88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5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4"/>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 (Instr. 4)</w:t>
            </w:r>
          </w:p>
        </w:tc>
        <w:tc>
          <w:tcPr>
            <w:tcW w:w="10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4"/>
            <w:vMerge w:val="restart"/>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8"/>
              </w:rPr>
              <w:t>(Instr. 3 and 4)</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Pr>
          <w:p>
            <w:pPr>
              <w:spacing w:after="0"/>
              <w:rPr>
                <w:sz w:val="19"/>
                <w:szCs w:val="19"/>
                <w:color w:val="auto"/>
              </w:rPr>
            </w:pPr>
          </w:p>
        </w:tc>
        <w:tc>
          <w:tcPr>
            <w:tcW w:w="84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color w:val="0000FF"/>
              </w:rPr>
              <w:t>05/14/2026</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vMerge w:val="restart"/>
          </w:tcPr>
          <w:p>
            <w:pPr>
              <w:jc w:val="center"/>
              <w:ind w:right="367"/>
              <w:spacing w:after="0"/>
              <w:rPr>
                <w:sz w:val="20"/>
                <w:szCs w:val="20"/>
                <w:color w:val="auto"/>
              </w:rPr>
            </w:pPr>
            <w:r>
              <w:rPr>
                <w:rFonts w:ascii="Times New Roman" w:cs="Times New Roman" w:eastAsia="Times New Roman" w:hAnsi="Times New Roman"/>
                <w:sz w:val="12"/>
                <w:szCs w:val="12"/>
                <w:color w:val="0000FF"/>
                <w:w w:val="99"/>
              </w:rPr>
              <w:t>C</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7"/>
              </w:rPr>
              <w:t>34,227,390</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34,227,390</w:t>
            </w:r>
          </w:p>
        </w:tc>
        <w:tc>
          <w:tcPr>
            <w:tcW w:w="440" w:type="dxa"/>
            <w:vAlign w:val="bottom"/>
          </w:tcPr>
          <w:p>
            <w:pPr>
              <w:spacing w:after="0"/>
              <w:rPr>
                <w:sz w:val="19"/>
                <w:szCs w:val="19"/>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86"/>
              </w:rPr>
              <w:t>See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20" w:type="dxa"/>
            <w:vAlign w:val="bottom"/>
            <w:gridSpan w:val="5"/>
            <w:vMerge w:val="continue"/>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91"/>
        </w:trPr>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380" w:type="dxa"/>
            <w:vAlign w:val="bottom"/>
            <w:gridSpan w:val="18"/>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8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40" w:type="dxa"/>
            <w:vAlign w:val="bottom"/>
          </w:tcPr>
          <w:p>
            <w:pPr>
              <w:spacing w:after="0"/>
              <w:rPr>
                <w:sz w:val="10"/>
                <w:szCs w:val="10"/>
                <w:color w:val="auto"/>
              </w:rPr>
            </w:pPr>
          </w:p>
        </w:tc>
        <w:tc>
          <w:tcPr>
            <w:tcW w:w="10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w w:val="99"/>
              </w:rPr>
              <w:t>Derivative Securities</w:t>
            </w:r>
          </w:p>
        </w:tc>
        <w:tc>
          <w:tcPr>
            <w:tcW w:w="15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40" w:type="dxa"/>
            <w:vAlign w:val="bottom"/>
          </w:tcPr>
          <w:p>
            <w:pPr>
              <w:spacing w:after="0"/>
              <w:rPr>
                <w:sz w:val="10"/>
                <w:szCs w:val="10"/>
                <w:color w:val="auto"/>
              </w:rPr>
            </w:pPr>
          </w:p>
        </w:tc>
        <w:tc>
          <w:tcPr>
            <w:tcW w:w="10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5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6"/>
              </w:rPr>
              <w:t>Expiration</w:t>
            </w:r>
          </w:p>
        </w:tc>
        <w:tc>
          <w:tcPr>
            <w:tcW w:w="5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60" w:type="dxa"/>
            <w:vAlign w:val="bottom"/>
            <w:gridSpan w:val="3"/>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E-1</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12/04/2025</w:t>
            </w:r>
            <w:r>
              <w:rPr>
                <w:rFonts w:ascii="Times New Roman" w:cs="Times New Roman" w:eastAsia="Times New Roman" w:hAnsi="Times New Roman"/>
                <w:sz w:val="20"/>
                <w:szCs w:val="20"/>
                <w:color w:val="008000"/>
                <w:w w:val="93"/>
                <w:vertAlign w:val="superscript"/>
              </w:rPr>
              <w:t>(4)</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2,634,495</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jc w:val="right"/>
              <w:ind w:right="5"/>
              <w:spacing w:after="0"/>
              <w:rPr>
                <w:sz w:val="20"/>
                <w:szCs w:val="20"/>
                <w:color w:val="auto"/>
              </w:rPr>
            </w:pPr>
            <w:r>
              <w:rPr>
                <w:rFonts w:ascii="Times New Roman" w:cs="Times New Roman" w:eastAsia="Times New Roman" w:hAnsi="Times New Roman"/>
                <w:sz w:val="12"/>
                <w:szCs w:val="12"/>
                <w:color w:val="0000FF"/>
                <w:w w:val="99"/>
              </w:rPr>
              <w:t>2,634,495</w:t>
            </w: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11.36</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2,634,495</w:t>
            </w:r>
          </w:p>
        </w:tc>
        <w:tc>
          <w:tcPr>
            <w:tcW w:w="500" w:type="dxa"/>
            <w:vAlign w:val="bottom"/>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w w:val="98"/>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6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right w:val="single" w:sz="8" w:color="2C2C2C"/>
            </w:tcBorders>
            <w:gridSpan w:val="3"/>
          </w:tcPr>
          <w:p>
            <w:pPr>
              <w:ind w:left="440"/>
              <w:spacing w:after="0" w:line="100"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08"/>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right w:val="single" w:sz="8" w:color="2C2C2C"/>
            </w:tcBorders>
            <w:gridSpan w:val="3"/>
          </w:tcPr>
          <w:p>
            <w:pPr>
              <w:spacing w:after="0" w:line="109"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47"/>
        </w:trPr>
        <w:tc>
          <w:tcPr>
            <w:tcW w:w="6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640" w:type="dxa"/>
            <w:vAlign w:val="bottom"/>
            <w:gridSpan w:val="2"/>
            <w:vMerge w:val="restart"/>
          </w:tcPr>
          <w:p>
            <w:pPr>
              <w:jc w:val="center"/>
              <w:ind w:left="31"/>
              <w:spacing w:after="0"/>
              <w:rPr>
                <w:sz w:val="20"/>
                <w:szCs w:val="20"/>
                <w:color w:val="auto"/>
              </w:rPr>
            </w:pPr>
            <w:r>
              <w:rPr>
                <w:rFonts w:ascii="Times New Roman" w:cs="Times New Roman" w:eastAsia="Times New Roman" w:hAnsi="Times New Roman"/>
                <w:sz w:val="16"/>
                <w:szCs w:val="16"/>
                <w:color w:val="0000FF"/>
                <w:w w:val="94"/>
              </w:rPr>
              <w:t>9,259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05/14/2026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ind w:left="160"/>
              <w:spacing w:after="0" w:line="133"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right"/>
              <w:ind w:right="105"/>
              <w:spacing w:after="0" w:line="133" w:lineRule="exact"/>
              <w:rPr>
                <w:sz w:val="20"/>
                <w:szCs w:val="20"/>
                <w:color w:val="auto"/>
              </w:rPr>
            </w:pPr>
            <w:r>
              <w:rPr>
                <w:rFonts w:ascii="Times New Roman" w:cs="Times New Roman" w:eastAsia="Times New Roman" w:hAnsi="Times New Roman"/>
                <w:sz w:val="12"/>
                <w:szCs w:val="12"/>
                <w:color w:val="0000FF"/>
              </w:rPr>
              <w:t>9,259</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tcPr>
          <w:p>
            <w:pPr>
              <w:jc w:val="center"/>
              <w:ind w:right="2"/>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9,259</w:t>
            </w:r>
          </w:p>
        </w:tc>
        <w:tc>
          <w:tcPr>
            <w:tcW w:w="500" w:type="dxa"/>
            <w:vAlign w:val="bottom"/>
          </w:tcPr>
          <w:p>
            <w:pPr>
              <w:jc w:val="center"/>
              <w:ind w:left="203"/>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6,368,028</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05/14/2026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line="95"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tcPr>
          <w:p>
            <w:pPr>
              <w:spacing w:after="0"/>
              <w:rPr>
                <w:sz w:val="3"/>
                <w:szCs w:val="3"/>
                <w:color w:val="auto"/>
              </w:rPr>
            </w:pPr>
          </w:p>
        </w:tc>
        <w:tc>
          <w:tcPr>
            <w:tcW w:w="56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6,368,028</w:t>
            </w: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restart"/>
          </w:tcPr>
          <w:p>
            <w:pPr>
              <w:jc w:val="center"/>
              <w:ind w:right="285"/>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jc w:val="center"/>
              <w:ind w:left="203"/>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C-1</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8,523,393</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05/14/2026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line="95"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tcPr>
          <w:p>
            <w:pPr>
              <w:spacing w:after="0"/>
              <w:rPr>
                <w:sz w:val="3"/>
                <w:szCs w:val="3"/>
                <w:color w:val="auto"/>
              </w:rPr>
            </w:pPr>
          </w:p>
        </w:tc>
        <w:tc>
          <w:tcPr>
            <w:tcW w:w="56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8,523,393</w:t>
            </w: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restart"/>
          </w:tcPr>
          <w:p>
            <w:pPr>
              <w:jc w:val="center"/>
              <w:ind w:right="285"/>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jc w:val="center"/>
              <w:ind w:left="203"/>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C-3</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4,266,992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05/14/2026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line="95"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tcPr>
          <w:p>
            <w:pPr>
              <w:spacing w:after="0"/>
              <w:rPr>
                <w:sz w:val="3"/>
                <w:szCs w:val="3"/>
                <w:color w:val="auto"/>
              </w:rPr>
            </w:pPr>
          </w:p>
        </w:tc>
        <w:tc>
          <w:tcPr>
            <w:tcW w:w="56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4,266,992</w:t>
            </w: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restart"/>
          </w:tcPr>
          <w:p>
            <w:pPr>
              <w:jc w:val="center"/>
              <w:ind w:right="285"/>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jc w:val="center"/>
              <w:ind w:left="203"/>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D-1</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4,261,341</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05/14/2026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line="95"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tcPr>
          <w:p>
            <w:pPr>
              <w:spacing w:after="0"/>
              <w:rPr>
                <w:sz w:val="3"/>
                <w:szCs w:val="3"/>
                <w:color w:val="auto"/>
              </w:rPr>
            </w:pPr>
          </w:p>
        </w:tc>
        <w:tc>
          <w:tcPr>
            <w:tcW w:w="56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4,261,341</w:t>
            </w: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restart"/>
          </w:tcPr>
          <w:p>
            <w:pPr>
              <w:jc w:val="center"/>
              <w:ind w:right="285"/>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jc w:val="center"/>
              <w:ind w:left="203"/>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D-3</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8,173,141</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05/14/2026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line="95"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tcPr>
          <w:p>
            <w:pPr>
              <w:spacing w:after="0"/>
              <w:rPr>
                <w:sz w:val="3"/>
                <w:szCs w:val="3"/>
                <w:color w:val="auto"/>
              </w:rPr>
            </w:pPr>
          </w:p>
        </w:tc>
        <w:tc>
          <w:tcPr>
            <w:tcW w:w="56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8,173,141</w:t>
            </w: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restart"/>
          </w:tcPr>
          <w:p>
            <w:pPr>
              <w:jc w:val="center"/>
              <w:ind w:right="285"/>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jc w:val="center"/>
              <w:ind w:left="203"/>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E-1</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2,634,495</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2"/>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Preferred</w:t>
            </w:r>
          </w:p>
        </w:tc>
        <w:tc>
          <w:tcPr>
            <w:tcW w:w="660" w:type="dxa"/>
            <w:vAlign w:val="bottom"/>
            <w:vMerge w:val="continue"/>
          </w:tcPr>
          <w:p>
            <w:pPr>
              <w:spacing w:after="0"/>
              <w:rPr>
                <w:sz w:val="3"/>
                <w:szCs w:val="3"/>
                <w:color w:val="auto"/>
              </w:rPr>
            </w:pPr>
          </w:p>
        </w:tc>
        <w:tc>
          <w:tcPr>
            <w:tcW w:w="1100" w:type="dxa"/>
            <w:vAlign w:val="bottom"/>
            <w:gridSpan w:val="2"/>
            <w:vMerge w:val="restart"/>
          </w:tcPr>
          <w:p>
            <w:pPr>
              <w:jc w:val="center"/>
              <w:spacing w:after="0" w:line="95" w:lineRule="exact"/>
              <w:rPr>
                <w:sz w:val="20"/>
                <w:szCs w:val="20"/>
                <w:color w:val="auto"/>
              </w:rPr>
            </w:pPr>
            <w:r>
              <w:rPr>
                <w:rFonts w:ascii="Times New Roman" w:cs="Times New Roman" w:eastAsia="Times New Roman" w:hAnsi="Times New Roman"/>
                <w:sz w:val="11"/>
                <w:szCs w:val="11"/>
                <w:color w:val="0000FF"/>
              </w:rPr>
              <w:t>05/14/2026</w:t>
            </w: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4"/>
            <w:vMerge w:val="restart"/>
          </w:tcPr>
          <w:p>
            <w:pPr>
              <w:ind w:left="160"/>
              <w:spacing w:after="0" w:line="95"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tcPr>
          <w:p>
            <w:pPr>
              <w:spacing w:after="0"/>
              <w:rPr>
                <w:sz w:val="3"/>
                <w:szCs w:val="3"/>
                <w:color w:val="auto"/>
              </w:rPr>
            </w:pPr>
          </w:p>
        </w:tc>
        <w:tc>
          <w:tcPr>
            <w:tcW w:w="56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1"/>
                <w:szCs w:val="11"/>
                <w:color w:val="0000FF"/>
              </w:rPr>
              <w:t>2,634,495</w:t>
            </w:r>
          </w:p>
        </w:tc>
        <w:tc>
          <w:tcPr>
            <w:tcW w:w="7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vMerge w:val="restart"/>
          </w:tcPr>
          <w:p>
            <w:pPr>
              <w:jc w:val="center"/>
              <w:ind w:right="2"/>
              <w:spacing w:after="0" w:line="95"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vMerge w:val="restart"/>
          </w:tcPr>
          <w:p>
            <w:pPr>
              <w:jc w:val="center"/>
              <w:ind w:right="285"/>
              <w:spacing w:after="0" w:line="95"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jc w:val="center"/>
              <w:ind w:left="203"/>
              <w:spacing w:after="0" w:line="95"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Borders>
              <w:right w:val="single" w:sz="8" w:color="2C2C2C"/>
            </w:tcBorders>
            <w:gridSpan w:val="3"/>
          </w:tcPr>
          <w:p>
            <w:pPr>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0000FF"/>
                <w:w w:val="94"/>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-3718560</wp:posOffset>
            </wp:positionV>
            <wp:extent cx="27940" cy="3724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72427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440" w:hanging="8"/>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the Series B, Series C-1, Series C-3, Series D-1, Series D-3 and Series E-1 Preferred Stock converted into Class A Common Stock immediately prior to the completion of the Issuer's initial public offering pursuant to its terms and has no expiration date.</w:t>
      </w:r>
    </w:p>
    <w:p>
      <w:pPr>
        <w:spacing w:after="0" w:line="13" w:lineRule="exact"/>
        <w:rPr>
          <w:rFonts w:ascii="Times New Roman" w:cs="Times New Roman" w:eastAsia="Times New Roman" w:hAnsi="Times New Roman"/>
          <w:sz w:val="12"/>
          <w:szCs w:val="12"/>
          <w:color w:val="008000"/>
        </w:rPr>
      </w:pPr>
    </w:p>
    <w:p>
      <w:pPr>
        <w:ind w:left="40" w:right="260" w:hanging="8"/>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herein, consists of (i) 12,055,467 shares of Class A Common Stock held by Technology Impact Fund, LP, (ii) 14,962,430 shares of Class A Common Stock held by Technology Impact Growth Fund, II, L.P., (iii) 5,448,761 shares of Class A Common Stock held by TIGF II Direct Strategies LLC - Series 5 and (iv) 1,760,732 shares of Class A Common Stock held by TIGF II Direct Strategies LLC - Series 7.</w:t>
      </w:r>
    </w:p>
    <w:p>
      <w:pPr>
        <w:spacing w:after="0" w:line="13" w:lineRule="exact"/>
        <w:rPr>
          <w:rFonts w:ascii="Times New Roman" w:cs="Times New Roman" w:eastAsia="Times New Roman" w:hAnsi="Times New Roman"/>
          <w:sz w:val="12"/>
          <w:szCs w:val="12"/>
          <w:color w:val="008000"/>
        </w:rPr>
      </w:pPr>
    </w:p>
    <w:p>
      <w:pPr>
        <w:jc w:val="both"/>
        <w:ind w:left="40" w:right="180" w:hanging="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TIF Partners, LLC is the general partner of Technology Impact Fund, LP and TIGF Partners II, LLC is the general partner of Technology Impact Growth Fund, II, L.P. and the manager of (i) TIGF II Direct Strategies LLC - Series 5 and (ii) TIGF II Direct Strategies LLC - Series 7. Ion Yadigaroglu, as a manager of TIF Partners, LLC and TIGF Partners II, LLC, shares the power to vote and dispose of the shares held by Technology Impact Fund, LP, Technology Impact Growth Fund, II, L.P., TIGF II Direct Strategies LLC - Series 5 and TIGF II Direct Strategies LLC - Series 7. Ion Yadigaroglu disclaims beneficial ownership of such holdings, except to the extent of his pecuniary interest in the shares.</w:t>
      </w:r>
    </w:p>
    <w:p>
      <w:pPr>
        <w:spacing w:after="0" w:line="25" w:lineRule="exact"/>
        <w:rPr>
          <w:rFonts w:ascii="Times New Roman" w:cs="Times New Roman" w:eastAsia="Times New Roman" w:hAnsi="Times New Roman"/>
          <w:sz w:val="12"/>
          <w:szCs w:val="12"/>
          <w:color w:val="008000"/>
        </w:rPr>
      </w:pPr>
    </w:p>
    <w:p>
      <w:pPr>
        <w:ind w:left="40" w:right="440" w:hanging="8"/>
        <w:spacing w:after="0" w:line="26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occurred prior to the Issuer's registration of a class of equity securities under Section 12 of the Securities Exchange Act of 1934, as amended, in connection with the Issuer's initial public offering, and is reported herein pursuant to Rule 16a-2(a).</w:t>
      </w:r>
    </w:p>
    <w:p>
      <w:pPr>
        <w:spacing w:after="0" w:line="13"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share of the Issuer's Class A Common Stock.</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will vest in full on the earlier of the Issuer's 2027 Annual Meeting or May 14, 2027.</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5"/>
                <w:szCs w:val="15"/>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Gustavo Torres, Attorney-in-</w:t>
            </w:r>
          </w:p>
        </w:tc>
        <w:tc>
          <w:tcPr>
            <w:tcW w:w="10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3"/>
              </w:rPr>
              <w:t>05/18/2026</w:t>
            </w:r>
          </w:p>
        </w:tc>
        <w:tc>
          <w:tcPr>
            <w:tcW w:w="0" w:type="dxa"/>
            <w:vAlign w:val="bottom"/>
          </w:tcPr>
          <w:p>
            <w:pPr>
              <w:spacing w:after="0"/>
              <w:rPr>
                <w:sz w:val="1"/>
                <w:szCs w:val="1"/>
                <w:color w:val="auto"/>
              </w:rPr>
            </w:pPr>
          </w:p>
        </w:tc>
      </w:tr>
      <w:tr>
        <w:trPr>
          <w:trHeight w:val="76"/>
        </w:trPr>
        <w:tc>
          <w:tcPr>
            <w:tcW w:w="6560" w:type="dxa"/>
            <w:vAlign w:val="bottom"/>
          </w:tcPr>
          <w:p>
            <w:pPr>
              <w:spacing w:after="0"/>
              <w:rPr>
                <w:sz w:val="6"/>
                <w:szCs w:val="6"/>
                <w:color w:val="auto"/>
              </w:rPr>
            </w:pPr>
          </w:p>
        </w:tc>
        <w:tc>
          <w:tcPr>
            <w:tcW w:w="2100" w:type="dxa"/>
            <w:vAlign w:val="bottom"/>
            <w:gridSpan w:val="3"/>
            <w:vMerge w:val="restart"/>
          </w:tcPr>
          <w:p>
            <w:pPr>
              <w:spacing w:after="0" w:line="173" w:lineRule="exact"/>
              <w:rPr>
                <w:sz w:val="20"/>
                <w:szCs w:val="20"/>
                <w:color w:val="auto"/>
              </w:rPr>
            </w:pPr>
            <w:r>
              <w:rPr>
                <w:rFonts w:ascii="Times New Roman" w:cs="Times New Roman" w:eastAsia="Times New Roman" w:hAnsi="Times New Roman"/>
                <w:sz w:val="16"/>
                <w:szCs w:val="16"/>
                <w:color w:val="0000FF"/>
              </w:rPr>
              <w:t>Fact</w:t>
            </w: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56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6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81"/>
        </w:trPr>
        <w:tc>
          <w:tcPr>
            <w:tcW w:w="86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53" w:orient="portrait"/>
          <w:cols w:equalWidth="0" w:num="1">
            <w:col w:w="11080"/>
          </w:cols>
          <w:pgMar w:left="460" w:top="21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7971" TargetMode="External"/><Relationship Id="rId14" Type="http://schemas.openxmlformats.org/officeDocument/2006/relationships/hyperlink" Target="http://www.sec.gov/cgi-bin/browse-edgar?action=getcompany&amp;CIK=0001853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2026-05-18T15:47:52Z</dcterms:created>
  <dcterms:modified xsi:type="dcterms:W3CDTF">2026-05-18T15:47:52Z</dcterms:modified>
</cp:coreProperties>
</file>